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043F9E">
        <w:rPr>
          <w:rFonts w:ascii="Arial" w:eastAsia="宋体" w:hAnsi="Arial" w:cs="Arial"/>
          <w:b/>
          <w:sz w:val="24"/>
          <w:lang w:val="en-GB" w:eastAsia="ko-KR"/>
        </w:rPr>
        <w:t>8</w:t>
      </w:r>
      <w:r w:rsidRPr="00B40311">
        <w:rPr>
          <w:rFonts w:ascii="Arial" w:eastAsia="宋体" w:hAnsi="Arial" w:cs="Arial"/>
          <w:b/>
          <w:sz w:val="24"/>
          <w:lang w:val="en-GB" w:eastAsia="ko-KR"/>
        </w:rPr>
        <w:t xml:space="preserve"> </w:t>
      </w:r>
      <w:r w:rsidR="00E16A41">
        <w:rPr>
          <w:rFonts w:ascii="Arial" w:eastAsia="宋体" w:hAnsi="Arial" w:cs="Arial"/>
          <w:b/>
          <w:sz w:val="24"/>
          <w:lang w:val="en-GB" w:eastAsia="ko-KR"/>
        </w:rPr>
        <w:tab/>
      </w:r>
      <w:r w:rsidR="00C463BD">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7926DC">
        <w:rPr>
          <w:rFonts w:ascii="Arial" w:eastAsia="宋体" w:hAnsi="Arial" w:cs="Arial"/>
          <w:b/>
          <w:sz w:val="24"/>
          <w:lang w:val="en-GB" w:eastAsia="ko-KR"/>
        </w:rPr>
        <w:t>3</w:t>
      </w:r>
      <w:r w:rsidR="008F07AF">
        <w:rPr>
          <w:rFonts w:ascii="Arial" w:eastAsia="宋体" w:hAnsi="Arial" w:cs="Arial"/>
          <w:b/>
          <w:sz w:val="24"/>
          <w:lang w:val="en-GB" w:eastAsia="ko-KR"/>
        </w:rPr>
        <w:t>11856</w:t>
      </w:r>
    </w:p>
    <w:p w:rsidR="00A44F96" w:rsidRPr="00B40311" w:rsidRDefault="00043F9E"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 FR,</w:t>
      </w:r>
      <w:r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E16A41">
        <w:rPr>
          <w:rFonts w:ascii="Arial" w:eastAsia="宋体" w:hAnsi="Arial" w:cs="Arial"/>
          <w:b/>
          <w:sz w:val="24"/>
          <w:lang w:val="en-GB" w:eastAsia="ko-KR"/>
        </w:rPr>
        <w:t xml:space="preserve">general aspects and scenarios for </w:t>
      </w:r>
      <w:r w:rsidR="00223C0A">
        <w:rPr>
          <w:rFonts w:ascii="Arial" w:eastAsia="宋体" w:hAnsi="Arial" w:cs="Arial"/>
          <w:b/>
          <w:sz w:val="24"/>
          <w:lang w:val="en-GB" w:eastAsia="ko-KR"/>
        </w:rPr>
        <w:t>LTM</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261A6D" w:rsidRPr="008F07AF">
        <w:rPr>
          <w:rFonts w:ascii="Arial" w:eastAsia="宋体" w:hAnsi="Arial" w:cs="Arial"/>
          <w:b/>
          <w:sz w:val="24"/>
          <w:lang w:val="en-GB"/>
        </w:rPr>
        <w:t>8</w:t>
      </w:r>
      <w:r w:rsidR="00BB2035" w:rsidRPr="008F07AF">
        <w:rPr>
          <w:rFonts w:ascii="Arial" w:eastAsia="宋体" w:hAnsi="Arial" w:cs="Arial"/>
          <w:b/>
          <w:sz w:val="24"/>
          <w:lang w:val="en-GB"/>
        </w:rPr>
        <w:t>.2</w:t>
      </w:r>
      <w:r w:rsidR="008F07AF" w:rsidRPr="008F07AF">
        <w:rPr>
          <w:rFonts w:ascii="Arial" w:eastAsia="宋体" w:hAnsi="Arial" w:cs="Arial"/>
          <w:b/>
          <w:sz w:val="24"/>
          <w:lang w:val="en-GB"/>
        </w:rPr>
        <w:t>4</w:t>
      </w:r>
      <w:r w:rsidR="00BB2035" w:rsidRPr="008F07AF">
        <w:rPr>
          <w:rFonts w:ascii="Arial" w:eastAsia="宋体" w:hAnsi="Arial" w:cs="Arial"/>
          <w:b/>
          <w:sz w:val="24"/>
          <w:lang w:val="en-GB"/>
        </w:rPr>
        <w:t>.2.1</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043F9E">
        <w:rPr>
          <w:rFonts w:ascii="Times New Roman" w:hAnsi="Times New Roman" w:cs="Times New Roman"/>
          <w:sz w:val="20"/>
          <w:szCs w:val="20"/>
        </w:rPr>
        <w:t>7</w:t>
      </w:r>
      <w:r>
        <w:rPr>
          <w:rFonts w:ascii="Times New Roman" w:hAnsi="Times New Roman" w:cs="Times New Roman"/>
          <w:sz w:val="20"/>
          <w:szCs w:val="20"/>
        </w:rPr>
        <w:t xml:space="preserve"> meeting, </w:t>
      </w:r>
      <w:r w:rsidR="001C2469">
        <w:rPr>
          <w:rFonts w:ascii="Times New Roman" w:hAnsi="Times New Roman" w:cs="Times New Roman"/>
          <w:sz w:val="20"/>
          <w:szCs w:val="20"/>
        </w:rPr>
        <w:t>RAN4 has some discussion on</w:t>
      </w:r>
      <w:r w:rsidR="00016112">
        <w:rPr>
          <w:rFonts w:ascii="Times New Roman" w:hAnsi="Times New Roman" w:cs="Times New Roman"/>
          <w:sz w:val="20"/>
          <w:szCs w:val="20"/>
        </w:rPr>
        <w:t xml:space="preserve"> </w:t>
      </w:r>
      <w:r w:rsidR="00DA2FD9">
        <w:rPr>
          <w:rFonts w:ascii="Times New Roman" w:hAnsi="Times New Roman" w:cs="Times New Roman"/>
          <w:sz w:val="20"/>
          <w:szCs w:val="20"/>
        </w:rPr>
        <w:t>the general aspects and scenarios for LTM</w:t>
      </w:r>
      <w:r w:rsidR="001C2469">
        <w:rPr>
          <w:rFonts w:ascii="Times New Roman" w:hAnsi="Times New Roman" w:cs="Times New Roman"/>
          <w:sz w:val="20"/>
          <w:szCs w:val="20"/>
        </w:rPr>
        <w:t>,</w:t>
      </w:r>
      <w:r w:rsidR="008A2709">
        <w:rPr>
          <w:rFonts w:ascii="Times New Roman" w:hAnsi="Times New Roman" w:cs="Times New Roman"/>
          <w:sz w:val="20"/>
          <w:szCs w:val="20"/>
        </w:rPr>
        <w:t xml:space="preserve"> e.g. inter-frequency cell switch definition and requirements for DL/UL synchronization,</w:t>
      </w:r>
      <w:r w:rsidR="001C2469">
        <w:rPr>
          <w:rFonts w:ascii="Times New Roman" w:hAnsi="Times New Roman" w:cs="Times New Roman"/>
          <w:sz w:val="20"/>
          <w:szCs w:val="20"/>
        </w:rPr>
        <w:t xml:space="preserve">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522680">
        <w:rPr>
          <w:rFonts w:ascii="Times New Roman" w:hAnsi="Times New Roman" w:cs="Times New Roman"/>
          <w:sz w:val="20"/>
          <w:szCs w:val="20"/>
        </w:rPr>
        <w:t>the</w:t>
      </w:r>
      <w:r w:rsidR="008A2709">
        <w:rPr>
          <w:rFonts w:ascii="Times New Roman" w:hAnsi="Times New Roman" w:cs="Times New Roman"/>
          <w:sz w:val="20"/>
          <w:szCs w:val="20"/>
        </w:rPr>
        <w:t xml:space="preserve"> remaining issues for the</w:t>
      </w:r>
      <w:r w:rsidR="00522680">
        <w:rPr>
          <w:rFonts w:ascii="Times New Roman" w:hAnsi="Times New Roman" w:cs="Times New Roman"/>
          <w:sz w:val="20"/>
          <w:szCs w:val="20"/>
        </w:rPr>
        <w:t xml:space="preserve"> general aspects and scenarios for </w:t>
      </w:r>
      <w:r w:rsidR="00DA2FD9">
        <w:rPr>
          <w:rFonts w:ascii="Times New Roman" w:hAnsi="Times New Roman" w:cs="Times New Roman"/>
          <w:sz w:val="20"/>
          <w:szCs w:val="20"/>
        </w:rPr>
        <w:t>LTM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4A4278" w:rsidRPr="004A4278" w:rsidRDefault="00EC1F0F" w:rsidP="004A4278">
      <w:pPr>
        <w:spacing w:after="180"/>
        <w:rPr>
          <w:rFonts w:ascii="Times New Roman" w:hAnsi="Times New Roman" w:cs="Times New Roman"/>
          <w:b/>
          <w:sz w:val="20"/>
          <w:szCs w:val="20"/>
          <w:u w:val="single"/>
        </w:rPr>
      </w:pPr>
      <w:r w:rsidRPr="00EC1F0F">
        <w:rPr>
          <w:rFonts w:ascii="Times New Roman" w:hAnsi="Times New Roman" w:cs="Times New Roman"/>
          <w:b/>
          <w:sz w:val="20"/>
          <w:szCs w:val="20"/>
          <w:u w:val="single"/>
        </w:rPr>
        <w:t>DL synchronization before cell switch command</w:t>
      </w:r>
    </w:p>
    <w:tbl>
      <w:tblPr>
        <w:tblW w:w="8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3"/>
      </w:tblGrid>
      <w:tr w:rsidR="004A4278" w:rsidTr="004A4278">
        <w:trPr>
          <w:trHeight w:val="771"/>
        </w:trPr>
        <w:tc>
          <w:tcPr>
            <w:tcW w:w="8383" w:type="dxa"/>
          </w:tcPr>
          <w:p w:rsidR="00043F9E" w:rsidRPr="00043F9E" w:rsidRDefault="00043F9E" w:rsidP="00043F9E">
            <w:pPr>
              <w:rPr>
                <w:rFonts w:ascii="Times New Roman" w:hAnsi="Times New Roman" w:cs="Times New Roman"/>
                <w:b/>
                <w:sz w:val="20"/>
                <w:szCs w:val="20"/>
                <w:u w:val="single"/>
              </w:rPr>
            </w:pPr>
            <w:r w:rsidRPr="00043F9E">
              <w:rPr>
                <w:rFonts w:ascii="Times New Roman" w:hAnsi="Times New Roman" w:cs="Times New Roman"/>
                <w:b/>
                <w:sz w:val="20"/>
                <w:szCs w:val="20"/>
                <w:u w:val="single"/>
                <w:lang w:eastAsia="ko-KR"/>
              </w:rPr>
              <w:t xml:space="preserve">Issue 1-1-2: Requirements </w:t>
            </w:r>
            <w:r w:rsidRPr="00043F9E">
              <w:rPr>
                <w:rFonts w:ascii="Times New Roman" w:hAnsi="Times New Roman" w:cs="Times New Roman"/>
                <w:b/>
                <w:sz w:val="20"/>
                <w:szCs w:val="20"/>
                <w:u w:val="single"/>
              </w:rPr>
              <w:t>for acquiring SFN of target cell before cell switch command</w:t>
            </w:r>
          </w:p>
          <w:p w:rsidR="00043F9E" w:rsidRPr="00043F9E" w:rsidRDefault="00043F9E" w:rsidP="00043F9E">
            <w:pPr>
              <w:rPr>
                <w:rFonts w:ascii="Times New Roman" w:hAnsi="Times New Roman" w:cs="Times New Roman"/>
                <w:b/>
                <w:sz w:val="20"/>
                <w:szCs w:val="20"/>
                <w:u w:val="single"/>
              </w:rPr>
            </w:pPr>
            <w:r w:rsidRPr="00043F9E">
              <w:rPr>
                <w:rFonts w:ascii="Times New Roman" w:hAnsi="Times New Roman" w:cs="Times New Roman"/>
                <w:b/>
                <w:sz w:val="20"/>
                <w:szCs w:val="20"/>
              </w:rPr>
              <w:t>&lt; Way Forward&gt;</w:t>
            </w:r>
            <w:r w:rsidRPr="00043F9E">
              <w:rPr>
                <w:rFonts w:ascii="Times New Roman" w:hAnsi="Times New Roman" w:cs="Times New Roman"/>
                <w:sz w:val="20"/>
                <w:szCs w:val="20"/>
              </w:rPr>
              <w:t xml:space="preserve">: </w:t>
            </w:r>
          </w:p>
          <w:p w:rsidR="00043F9E" w:rsidRPr="00043F9E" w:rsidRDefault="00043F9E" w:rsidP="00043F9E">
            <w:pPr>
              <w:pStyle w:val="a7"/>
              <w:numPr>
                <w:ilvl w:val="1"/>
                <w:numId w:val="4"/>
              </w:numPr>
              <w:ind w:left="1440"/>
              <w:contextualSpacing w:val="0"/>
              <w:rPr>
                <w:sz w:val="20"/>
                <w:szCs w:val="20"/>
                <w:lang w:eastAsia="zh-CN"/>
              </w:rPr>
            </w:pPr>
            <w:r w:rsidRPr="00043F9E">
              <w:rPr>
                <w:sz w:val="20"/>
                <w:szCs w:val="20"/>
                <w:lang w:eastAsia="zh-CN"/>
              </w:rPr>
              <w:t>Common understanding is that RAN4 does not need to define any new requirements for SFN acquisition delay of target cell before cell switch command, as legacy requirements of SFN acquisition delay defined for L3 CSI-RS measurement in table 9.10.2.5-3 or Table 9.10.3.5-3 or T</w:t>
            </w:r>
            <w:r w:rsidRPr="00043F9E">
              <w:rPr>
                <w:sz w:val="20"/>
                <w:szCs w:val="20"/>
                <w:vertAlign w:val="subscript"/>
                <w:lang w:eastAsia="zh-CN"/>
              </w:rPr>
              <w:t>SSB_time_index_inter</w:t>
            </w:r>
            <w:r w:rsidRPr="00043F9E">
              <w:rPr>
                <w:sz w:val="20"/>
                <w:szCs w:val="20"/>
                <w:lang w:eastAsia="zh-CN"/>
              </w:rPr>
              <w:t xml:space="preserve"> in Clause 9.3.4 apply, if needed.</w:t>
            </w:r>
          </w:p>
          <w:p w:rsidR="004A4278" w:rsidRPr="00A2749C" w:rsidRDefault="00043F9E" w:rsidP="00043F9E">
            <w:pPr>
              <w:pStyle w:val="a7"/>
              <w:numPr>
                <w:ilvl w:val="1"/>
                <w:numId w:val="4"/>
              </w:numPr>
              <w:spacing w:after="120"/>
              <w:ind w:left="1440"/>
              <w:contextualSpacing w:val="0"/>
              <w:rPr>
                <w:lang w:eastAsia="zh-CN"/>
              </w:rPr>
            </w:pPr>
            <w:r w:rsidRPr="00043F9E">
              <w:rPr>
                <w:sz w:val="20"/>
                <w:szCs w:val="20"/>
                <w:lang w:eastAsia="zh-CN"/>
              </w:rPr>
              <w:t>FFS when and how to acquire SFN of the candidate cell</w:t>
            </w:r>
          </w:p>
        </w:tc>
      </w:tr>
    </w:tbl>
    <w:p w:rsidR="00B45648" w:rsidRDefault="00E93A07" w:rsidP="00E93A07">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last meeting, RAN4 has agreed not to define any new requirements for SFN acquisition delay for target cell before cell switch command, and FFS when and how to acquire SFN of the candidate ce</w:t>
      </w:r>
      <w:r w:rsidR="00E7448A">
        <w:rPr>
          <w:rFonts w:ascii="Times New Roman" w:hAnsi="Times New Roman" w:cs="Times New Roman"/>
          <w:sz w:val="20"/>
          <w:szCs w:val="20"/>
          <w:lang w:val="en-GB"/>
        </w:rPr>
        <w:t>ll. According to current spec, i</w:t>
      </w:r>
      <w:r w:rsidRPr="00E93A07">
        <w:rPr>
          <w:rFonts w:ascii="Times New Roman" w:hAnsi="Times New Roman" w:cs="Times New Roman"/>
          <w:sz w:val="20"/>
          <w:szCs w:val="20"/>
          <w:lang w:val="en-GB"/>
        </w:rPr>
        <w:t>f ‘</w:t>
      </w:r>
      <w:r w:rsidRPr="00E93A07">
        <w:rPr>
          <w:rFonts w:ascii="Times New Roman" w:hAnsi="Times New Roman" w:cs="Times New Roman"/>
          <w:i/>
          <w:sz w:val="20"/>
          <w:szCs w:val="20"/>
          <w:lang w:val="en-GB"/>
        </w:rPr>
        <w:t>deriveSSB-IndexFromCell</w:t>
      </w:r>
      <w:r w:rsidRPr="00E93A07">
        <w:rPr>
          <w:rFonts w:ascii="Times New Roman" w:hAnsi="Times New Roman" w:cs="Times New Roman"/>
          <w:sz w:val="20"/>
          <w:szCs w:val="20"/>
          <w:lang w:val="en-GB"/>
        </w:rPr>
        <w:t>’ or ‘</w:t>
      </w:r>
      <w:r w:rsidRPr="00E93A07">
        <w:rPr>
          <w:rFonts w:ascii="Times New Roman" w:hAnsi="Times New Roman" w:cs="Times New Roman"/>
          <w:i/>
          <w:sz w:val="20"/>
          <w:szCs w:val="20"/>
          <w:lang w:val="en-GB"/>
        </w:rPr>
        <w:t>deriveSSB-IndexFromCellInter-r17</w:t>
      </w:r>
      <w:r w:rsidRPr="00E93A07">
        <w:rPr>
          <w:rFonts w:ascii="Times New Roman" w:hAnsi="Times New Roman" w:cs="Times New Roman"/>
          <w:sz w:val="20"/>
          <w:szCs w:val="20"/>
          <w:lang w:val="en-GB"/>
        </w:rPr>
        <w:t xml:space="preserve">’ is enabled, </w:t>
      </w:r>
      <w:r>
        <w:rPr>
          <w:rFonts w:ascii="Times New Roman" w:hAnsi="Times New Roman" w:cs="Times New Roman"/>
          <w:sz w:val="20"/>
          <w:szCs w:val="20"/>
          <w:lang w:val="en-GB"/>
        </w:rPr>
        <w:t xml:space="preserve">SFN level alignment is assumed. </w:t>
      </w:r>
      <w:r w:rsidRPr="00E93A07">
        <w:rPr>
          <w:rFonts w:ascii="Times New Roman" w:hAnsi="Times New Roman" w:cs="Times New Roman"/>
          <w:sz w:val="20"/>
          <w:szCs w:val="20"/>
          <w:lang w:val="en-GB"/>
        </w:rPr>
        <w:t>Otherwise, UE may need to acquire target cell SFN by reading MIB</w:t>
      </w:r>
      <w:r>
        <w:rPr>
          <w:rFonts w:ascii="Times New Roman" w:hAnsi="Times New Roman" w:cs="Times New Roman"/>
          <w:sz w:val="20"/>
          <w:szCs w:val="20"/>
          <w:lang w:val="en-GB"/>
        </w:rPr>
        <w:t xml:space="preserve">, and the legacy </w:t>
      </w:r>
      <w:r w:rsidR="00870078">
        <w:rPr>
          <w:rFonts w:ascii="Times New Roman" w:hAnsi="Times New Roman" w:cs="Times New Roman"/>
          <w:sz w:val="20"/>
          <w:szCs w:val="20"/>
          <w:lang w:val="en-GB"/>
        </w:rPr>
        <w:t>delay requirement</w:t>
      </w:r>
      <w:r>
        <w:rPr>
          <w:rFonts w:ascii="Times New Roman" w:hAnsi="Times New Roman" w:cs="Times New Roman"/>
          <w:sz w:val="20"/>
          <w:szCs w:val="20"/>
          <w:lang w:val="en-GB"/>
        </w:rPr>
        <w:t xml:space="preserve"> of SFN acquisition</w:t>
      </w:r>
      <w:r w:rsidR="00870078">
        <w:rPr>
          <w:rFonts w:ascii="Times New Roman" w:hAnsi="Times New Roman" w:cs="Times New Roman"/>
          <w:sz w:val="20"/>
          <w:szCs w:val="20"/>
          <w:lang w:val="en-GB"/>
        </w:rPr>
        <w:t xml:space="preserve"> can be applied.</w:t>
      </w:r>
    </w:p>
    <w:p w:rsidR="00870078" w:rsidRPr="002E3F3F" w:rsidRDefault="00870078" w:rsidP="002E3F3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200837">
        <w:rPr>
          <w:rFonts w:ascii="Times New Roman" w:hAnsi="Times New Roman" w:cs="Times New Roman"/>
          <w:b/>
          <w:sz w:val="20"/>
          <w:szCs w:val="20"/>
          <w:lang w:val="en-GB"/>
        </w:rPr>
        <w:t xml:space="preserve">: </w:t>
      </w:r>
      <w:r w:rsidRPr="00870078">
        <w:rPr>
          <w:rFonts w:ascii="Times New Roman" w:hAnsi="Times New Roman" w:cs="Times New Roman"/>
          <w:b/>
          <w:sz w:val="20"/>
          <w:szCs w:val="20"/>
          <w:lang w:val="en-GB"/>
        </w:rPr>
        <w:t>If ‘</w:t>
      </w:r>
      <w:r w:rsidRPr="00870078">
        <w:rPr>
          <w:rFonts w:ascii="Times New Roman" w:hAnsi="Times New Roman" w:cs="Times New Roman"/>
          <w:b/>
          <w:i/>
          <w:sz w:val="20"/>
          <w:szCs w:val="20"/>
          <w:lang w:val="en-GB"/>
        </w:rPr>
        <w:t>deriveSSB-IndexFromCell</w:t>
      </w:r>
      <w:r w:rsidRPr="00870078">
        <w:rPr>
          <w:rFonts w:ascii="Times New Roman" w:hAnsi="Times New Roman" w:cs="Times New Roman"/>
          <w:b/>
          <w:sz w:val="20"/>
          <w:szCs w:val="20"/>
          <w:lang w:val="en-GB"/>
        </w:rPr>
        <w:t>’ or ‘</w:t>
      </w:r>
      <w:r w:rsidRPr="00870078">
        <w:rPr>
          <w:rFonts w:ascii="Times New Roman" w:hAnsi="Times New Roman" w:cs="Times New Roman"/>
          <w:b/>
          <w:i/>
          <w:sz w:val="20"/>
          <w:szCs w:val="20"/>
          <w:lang w:val="en-GB"/>
        </w:rPr>
        <w:t>deriveSSB-IndexFromCellInter-r17</w:t>
      </w:r>
      <w:r w:rsidRPr="00870078">
        <w:rPr>
          <w:rFonts w:ascii="Times New Roman" w:hAnsi="Times New Roman" w:cs="Times New Roman"/>
          <w:b/>
          <w:sz w:val="20"/>
          <w:szCs w:val="20"/>
          <w:lang w:val="en-GB"/>
        </w:rPr>
        <w:t>’ is enabled,</w:t>
      </w:r>
      <w:r w:rsidR="006E3CA9">
        <w:rPr>
          <w:rFonts w:ascii="Times New Roman" w:hAnsi="Times New Roman" w:cs="Times New Roman"/>
          <w:b/>
          <w:sz w:val="20"/>
          <w:szCs w:val="20"/>
          <w:lang w:val="en-GB"/>
        </w:rPr>
        <w:t xml:space="preserve"> SFN level alignment is assumed,</w:t>
      </w:r>
      <w:r w:rsidRPr="00870078">
        <w:rPr>
          <w:rFonts w:ascii="Times New Roman" w:hAnsi="Times New Roman" w:cs="Times New Roman"/>
          <w:b/>
          <w:sz w:val="20"/>
          <w:szCs w:val="20"/>
          <w:lang w:val="en-GB"/>
        </w:rPr>
        <w:t xml:space="preserve"> </w:t>
      </w:r>
      <w:r w:rsidR="006E3CA9">
        <w:rPr>
          <w:rFonts w:ascii="Times New Roman" w:hAnsi="Times New Roman" w:cs="Times New Roman"/>
          <w:b/>
          <w:sz w:val="20"/>
          <w:szCs w:val="20"/>
          <w:lang w:val="en-GB"/>
        </w:rPr>
        <w:t>o</w:t>
      </w:r>
      <w:r w:rsidRPr="00870078">
        <w:rPr>
          <w:rFonts w:ascii="Times New Roman" w:hAnsi="Times New Roman" w:cs="Times New Roman"/>
          <w:b/>
          <w:sz w:val="20"/>
          <w:szCs w:val="20"/>
          <w:lang w:val="en-GB"/>
        </w:rPr>
        <w:t>therwise,</w:t>
      </w:r>
      <w:r w:rsidRPr="00870078">
        <w:t xml:space="preserve"> </w:t>
      </w:r>
      <w:r w:rsidRPr="00870078">
        <w:rPr>
          <w:rFonts w:ascii="Times New Roman" w:hAnsi="Times New Roman" w:cs="Times New Roman"/>
          <w:b/>
          <w:sz w:val="20"/>
          <w:szCs w:val="20"/>
          <w:lang w:val="en-GB"/>
        </w:rPr>
        <w:t>UE need</w:t>
      </w:r>
      <w:r>
        <w:rPr>
          <w:rFonts w:ascii="Times New Roman" w:hAnsi="Times New Roman" w:cs="Times New Roman"/>
          <w:b/>
          <w:sz w:val="20"/>
          <w:szCs w:val="20"/>
          <w:lang w:val="en-GB"/>
        </w:rPr>
        <w:t>s</w:t>
      </w:r>
      <w:r w:rsidRPr="00870078">
        <w:rPr>
          <w:rFonts w:ascii="Times New Roman" w:hAnsi="Times New Roman" w:cs="Times New Roman"/>
          <w:b/>
          <w:sz w:val="20"/>
          <w:szCs w:val="20"/>
          <w:lang w:val="en-GB"/>
        </w:rPr>
        <w:t xml:space="preserve"> to acquire target cell SFN by reading MIB</w:t>
      </w:r>
      <w:r>
        <w:rPr>
          <w:rFonts w:ascii="Times New Roman" w:hAnsi="Times New Roman" w:cs="Times New Roman"/>
          <w:b/>
          <w:sz w:val="20"/>
          <w:szCs w:val="20"/>
          <w:lang w:val="en-GB"/>
        </w:rPr>
        <w:t>, and the</w:t>
      </w:r>
      <w:r w:rsidRPr="00870078">
        <w:t xml:space="preserve"> </w:t>
      </w:r>
      <w:r w:rsidRPr="00870078">
        <w:rPr>
          <w:rFonts w:ascii="Times New Roman" w:hAnsi="Times New Roman" w:cs="Times New Roman"/>
          <w:b/>
          <w:sz w:val="20"/>
          <w:szCs w:val="20"/>
          <w:lang w:val="en-GB"/>
        </w:rPr>
        <w:t xml:space="preserve">legacy delay requirement of SFN acquisition defined in </w:t>
      </w:r>
      <w:r w:rsidRPr="00870078">
        <w:rPr>
          <w:rFonts w:ascii="Times New Roman" w:hAnsi="Times New Roman" w:cs="Times New Roman"/>
          <w:b/>
          <w:sz w:val="20"/>
          <w:szCs w:val="20"/>
        </w:rPr>
        <w:t>table 9.10.2.5-3 or Table 9.10.3.5-3 or T</w:t>
      </w:r>
      <w:r w:rsidRPr="00870078">
        <w:rPr>
          <w:rFonts w:ascii="Times New Roman" w:hAnsi="Times New Roman" w:cs="Times New Roman"/>
          <w:b/>
          <w:sz w:val="20"/>
          <w:szCs w:val="20"/>
          <w:vertAlign w:val="subscript"/>
        </w:rPr>
        <w:t>SSB_time_index_inter</w:t>
      </w:r>
      <w:r w:rsidRPr="00870078">
        <w:rPr>
          <w:rFonts w:ascii="Times New Roman" w:hAnsi="Times New Roman" w:cs="Times New Roman"/>
          <w:b/>
          <w:sz w:val="20"/>
          <w:szCs w:val="20"/>
        </w:rPr>
        <w:t xml:space="preserve"> in Clause 9.3.4 applies</w:t>
      </w:r>
      <w:r w:rsidRPr="00870078">
        <w:rPr>
          <w:rFonts w:ascii="Times New Roman" w:hAnsi="Times New Roman" w:cs="Times New Roman"/>
          <w:b/>
          <w:sz w:val="20"/>
          <w:szCs w:val="20"/>
          <w:lang w:val="en-GB"/>
        </w:rPr>
        <w:t>.</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0"/>
      </w:tblGrid>
      <w:tr w:rsidR="002E3F3F" w:rsidTr="002E3F3F">
        <w:trPr>
          <w:trHeight w:val="639"/>
        </w:trPr>
        <w:tc>
          <w:tcPr>
            <w:tcW w:w="8270" w:type="dxa"/>
          </w:tcPr>
          <w:p w:rsidR="002E3F3F" w:rsidRPr="002E3F3F" w:rsidRDefault="002E3F3F" w:rsidP="002E3F3F">
            <w:pPr>
              <w:rPr>
                <w:rFonts w:ascii="Times New Roman" w:hAnsi="Times New Roman" w:cs="Times New Roman"/>
                <w:b/>
                <w:sz w:val="20"/>
                <w:szCs w:val="20"/>
                <w:u w:val="single"/>
              </w:rPr>
            </w:pPr>
            <w:r w:rsidRPr="002E3F3F">
              <w:rPr>
                <w:rFonts w:ascii="Times New Roman" w:hAnsi="Times New Roman" w:cs="Times New Roman"/>
                <w:b/>
                <w:sz w:val="20"/>
                <w:szCs w:val="20"/>
                <w:u w:val="single"/>
                <w:lang w:eastAsia="ko-KR"/>
              </w:rPr>
              <w:t>Issue 1-1-3: UE behaviour upon reception of TCI state activation of neighbour cell</w:t>
            </w:r>
            <w:r w:rsidRPr="002E3F3F">
              <w:rPr>
                <w:rFonts w:ascii="Times New Roman" w:hAnsi="Times New Roman" w:cs="Times New Roman"/>
                <w:b/>
                <w:sz w:val="20"/>
                <w:szCs w:val="20"/>
                <w:u w:val="single"/>
              </w:rPr>
              <w:t xml:space="preserve"> before cell switch command</w:t>
            </w:r>
          </w:p>
          <w:p w:rsidR="002E3F3F" w:rsidRPr="002E3F3F" w:rsidRDefault="002E3F3F" w:rsidP="002E3F3F">
            <w:pPr>
              <w:rPr>
                <w:rFonts w:ascii="Times New Roman" w:hAnsi="Times New Roman" w:cs="Times New Roman"/>
                <w:b/>
                <w:sz w:val="20"/>
                <w:szCs w:val="20"/>
              </w:rPr>
            </w:pPr>
            <w:r w:rsidRPr="002E3F3F">
              <w:rPr>
                <w:rFonts w:ascii="Times New Roman" w:hAnsi="Times New Roman" w:cs="Times New Roman"/>
                <w:b/>
                <w:sz w:val="20"/>
                <w:szCs w:val="20"/>
              </w:rPr>
              <w:t xml:space="preserve">&lt;Way Forward&gt; </w:t>
            </w:r>
            <w:r w:rsidRPr="002E3F3F">
              <w:rPr>
                <w:rFonts w:ascii="Times New Roman" w:hAnsi="Times New Roman" w:cs="Times New Roman"/>
                <w:bCs/>
                <w:sz w:val="20"/>
                <w:szCs w:val="20"/>
              </w:rPr>
              <w:t>FFS the following options:</w:t>
            </w:r>
          </w:p>
          <w:p w:rsidR="002E3F3F" w:rsidRPr="002E3F3F" w:rsidRDefault="002E3F3F" w:rsidP="002E3F3F">
            <w:pPr>
              <w:pStyle w:val="a7"/>
              <w:numPr>
                <w:ilvl w:val="1"/>
                <w:numId w:val="4"/>
              </w:numPr>
              <w:ind w:left="1440"/>
              <w:contextualSpacing w:val="0"/>
              <w:rPr>
                <w:sz w:val="20"/>
                <w:szCs w:val="20"/>
                <w:lang w:eastAsia="zh-CN"/>
              </w:rPr>
            </w:pPr>
            <w:r w:rsidRPr="002E3F3F">
              <w:rPr>
                <w:sz w:val="20"/>
                <w:szCs w:val="20"/>
                <w:lang w:eastAsia="zh-CN"/>
              </w:rPr>
              <w:t>Option 1 (MTK): After the TCI state of a neighbour cell is activated, UE performs SSB based T/F fine tracking on the corresponding beam, and UE will not active the corresponding BWP.</w:t>
            </w:r>
          </w:p>
          <w:p w:rsidR="002E3F3F" w:rsidRPr="002E3F3F" w:rsidRDefault="002E3F3F" w:rsidP="002E3F3F">
            <w:pPr>
              <w:pStyle w:val="a7"/>
              <w:numPr>
                <w:ilvl w:val="1"/>
                <w:numId w:val="4"/>
              </w:numPr>
              <w:ind w:left="1440"/>
              <w:contextualSpacing w:val="0"/>
              <w:rPr>
                <w:lang w:eastAsia="zh-CN"/>
              </w:rPr>
            </w:pPr>
            <w:r w:rsidRPr="002E3F3F">
              <w:rPr>
                <w:rFonts w:eastAsiaTheme="minorEastAsia"/>
                <w:sz w:val="20"/>
                <w:szCs w:val="20"/>
                <w:lang w:eastAsia="zh-CN"/>
              </w:rPr>
              <w:lastRenderedPageBreak/>
              <w:t xml:space="preserve">Option 2 (vivo): For the inter-frequency cell switch, if UE can perform T/F fine tracking before cell switch, RAN4 discuss and clarify whether the DL BWP of target cell is activated during downlink sync before the cell switch. </w:t>
            </w:r>
          </w:p>
        </w:tc>
      </w:tr>
    </w:tbl>
    <w:p w:rsidR="00C425CF" w:rsidRDefault="00C425CF" w:rsidP="0051229C">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fter the TCI state of a neighbour cell is activated, the UE needs to perform T/F fine time tracking based on configured SSB resource, and UE will not active the corresponding BWP of the neighbour cell, as the UE is not configured with BWP related parameter of the neighbour cell before cell switch command.</w:t>
      </w:r>
    </w:p>
    <w:p w:rsidR="00292214" w:rsidRDefault="00C425CF" w:rsidP="00130412">
      <w:pPr>
        <w:spacing w:after="240"/>
        <w:rPr>
          <w:rFonts w:ascii="Times New Roman" w:hAnsi="Times New Roman" w:cs="Times New Roman"/>
          <w:sz w:val="20"/>
          <w:szCs w:val="20"/>
          <w:lang w:val="en-GB"/>
        </w:rPr>
      </w:pPr>
      <w:r>
        <w:rPr>
          <w:rFonts w:ascii="Times New Roman" w:hAnsi="Times New Roman" w:cs="Times New Roman"/>
          <w:b/>
          <w:sz w:val="20"/>
          <w:szCs w:val="20"/>
          <w:lang w:val="en-GB"/>
        </w:rPr>
        <w:t>Proposal 2</w:t>
      </w:r>
      <w:r w:rsidRPr="00200837">
        <w:rPr>
          <w:rFonts w:ascii="Times New Roman" w:hAnsi="Times New Roman" w:cs="Times New Roman"/>
          <w:b/>
          <w:sz w:val="20"/>
          <w:szCs w:val="20"/>
          <w:lang w:val="en-GB"/>
        </w:rPr>
        <w:t xml:space="preserve">: </w:t>
      </w:r>
      <w:r w:rsidRPr="00C425CF">
        <w:rPr>
          <w:rFonts w:ascii="Times New Roman" w:hAnsi="Times New Roman" w:cs="Times New Roman"/>
          <w:b/>
          <w:sz w:val="20"/>
          <w:szCs w:val="20"/>
          <w:lang w:val="en-GB"/>
        </w:rPr>
        <w:t xml:space="preserve">After the TCI state of a </w:t>
      </w:r>
      <w:r w:rsidR="00D41B9B">
        <w:rPr>
          <w:rFonts w:ascii="Times New Roman" w:hAnsi="Times New Roman" w:cs="Times New Roman"/>
          <w:b/>
          <w:sz w:val="20"/>
          <w:szCs w:val="20"/>
          <w:lang w:val="en-GB"/>
        </w:rPr>
        <w:t>candidate</w:t>
      </w:r>
      <w:r w:rsidRPr="00C425CF">
        <w:rPr>
          <w:rFonts w:ascii="Times New Roman" w:hAnsi="Times New Roman" w:cs="Times New Roman"/>
          <w:b/>
          <w:sz w:val="20"/>
          <w:szCs w:val="20"/>
          <w:lang w:val="en-GB"/>
        </w:rPr>
        <w:t xml:space="preserve"> cell is activated, UE performs SSB based T/F fine tracking on the corresponding beam, and UE will n</w:t>
      </w:r>
      <w:r>
        <w:rPr>
          <w:rFonts w:ascii="Times New Roman" w:hAnsi="Times New Roman" w:cs="Times New Roman"/>
          <w:b/>
          <w:sz w:val="20"/>
          <w:szCs w:val="20"/>
          <w:lang w:val="en-GB"/>
        </w:rPr>
        <w:t xml:space="preserve">ot active the corresponding BWP of the </w:t>
      </w:r>
      <w:r w:rsidR="00D41B9B">
        <w:rPr>
          <w:rFonts w:ascii="Times New Roman" w:hAnsi="Times New Roman" w:cs="Times New Roman"/>
          <w:b/>
          <w:sz w:val="20"/>
          <w:szCs w:val="20"/>
          <w:lang w:val="en-GB"/>
        </w:rPr>
        <w:t>candidate</w:t>
      </w:r>
      <w:r>
        <w:rPr>
          <w:rFonts w:ascii="Times New Roman" w:hAnsi="Times New Roman" w:cs="Times New Roman"/>
          <w:b/>
          <w:sz w:val="20"/>
          <w:szCs w:val="20"/>
          <w:lang w:val="en-GB"/>
        </w:rPr>
        <w:t xml:space="preserve"> cell</w:t>
      </w:r>
      <w:r w:rsidRPr="00870078">
        <w:rPr>
          <w:rFonts w:ascii="Times New Roman" w:hAnsi="Times New Roman" w:cs="Times New Roman"/>
          <w:b/>
          <w:sz w:val="20"/>
          <w:szCs w:val="20"/>
          <w:lang w:val="en-GB"/>
        </w:rPr>
        <w:t>.</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695FD9" w:rsidTr="00695FD9">
        <w:trPr>
          <w:trHeight w:val="592"/>
        </w:trPr>
        <w:tc>
          <w:tcPr>
            <w:tcW w:w="8357" w:type="dxa"/>
          </w:tcPr>
          <w:p w:rsidR="00695FD9" w:rsidRPr="00695FD9" w:rsidRDefault="00695FD9" w:rsidP="00695FD9">
            <w:pPr>
              <w:rPr>
                <w:rFonts w:ascii="Times New Roman" w:hAnsi="Times New Roman" w:cs="Times New Roman"/>
                <w:sz w:val="20"/>
                <w:szCs w:val="20"/>
                <w:highlight w:val="green"/>
              </w:rPr>
            </w:pPr>
            <w:r>
              <w:rPr>
                <w:rFonts w:ascii="Times New Roman" w:hAnsi="Times New Roman" w:cs="Times New Roman"/>
                <w:b/>
                <w:bCs/>
                <w:sz w:val="20"/>
                <w:szCs w:val="20"/>
                <w:highlight w:val="green"/>
              </w:rPr>
              <w:t xml:space="preserve">RAN1 </w:t>
            </w:r>
            <w:r w:rsidRPr="00695FD9">
              <w:rPr>
                <w:rFonts w:ascii="Times New Roman" w:hAnsi="Times New Roman" w:cs="Times New Roman"/>
                <w:b/>
                <w:bCs/>
                <w:sz w:val="20"/>
                <w:szCs w:val="20"/>
                <w:highlight w:val="green"/>
              </w:rPr>
              <w:t>Agreement</w:t>
            </w:r>
          </w:p>
          <w:p w:rsidR="00695FD9" w:rsidRPr="00695FD9" w:rsidRDefault="00695FD9" w:rsidP="00695FD9">
            <w:pPr>
              <w:rPr>
                <w:rFonts w:ascii="Times New Roman" w:hAnsi="Times New Roman" w:cs="Times New Roman"/>
                <w:sz w:val="20"/>
                <w:szCs w:val="20"/>
              </w:rPr>
            </w:pPr>
            <w:r w:rsidRPr="00695FD9">
              <w:rPr>
                <w:rFonts w:ascii="Times New Roman" w:hAnsi="Times New Roman" w:cs="Times New Roman"/>
                <w:sz w:val="20"/>
                <w:szCs w:val="20"/>
              </w:rPr>
              <w:t>For the Rel-17 unified TCI based beam indication in Rel-18 LTM, at least Alt 1 is supported:</w:t>
            </w:r>
          </w:p>
          <w:p w:rsidR="00695FD9" w:rsidRPr="00695FD9" w:rsidRDefault="00695FD9" w:rsidP="00695FD9">
            <w:pPr>
              <w:pStyle w:val="a7"/>
              <w:numPr>
                <w:ilvl w:val="0"/>
                <w:numId w:val="24"/>
              </w:numPr>
              <w:snapToGrid w:val="0"/>
              <w:contextualSpacing w:val="0"/>
              <w:jc w:val="both"/>
              <w:rPr>
                <w:sz w:val="20"/>
                <w:szCs w:val="20"/>
                <w:highlight w:val="green"/>
              </w:rPr>
            </w:pPr>
            <w:r w:rsidRPr="00695FD9">
              <w:rPr>
                <w:b/>
                <w:bCs/>
                <w:sz w:val="20"/>
                <w:szCs w:val="20"/>
                <w:highlight w:val="green"/>
              </w:rPr>
              <w:t>Alt 1:</w:t>
            </w:r>
            <w:r w:rsidRPr="00695FD9">
              <w:rPr>
                <w:sz w:val="20"/>
                <w:szCs w:val="20"/>
                <w:highlight w:val="green"/>
              </w:rPr>
              <w:t xml:space="preserve"> TCI state activation of a candidate cell is received before the reception of beam indication of the candidate cell, </w:t>
            </w:r>
          </w:p>
          <w:p w:rsidR="00695FD9" w:rsidRPr="00695FD9" w:rsidRDefault="00695FD9" w:rsidP="00695FD9">
            <w:pPr>
              <w:pStyle w:val="a7"/>
              <w:numPr>
                <w:ilvl w:val="0"/>
                <w:numId w:val="24"/>
              </w:numPr>
              <w:snapToGrid w:val="0"/>
              <w:contextualSpacing w:val="0"/>
              <w:jc w:val="both"/>
              <w:rPr>
                <w:sz w:val="20"/>
                <w:szCs w:val="20"/>
              </w:rPr>
            </w:pPr>
            <w:r w:rsidRPr="00695FD9">
              <w:rPr>
                <w:b/>
                <w:bCs/>
                <w:sz w:val="20"/>
                <w:szCs w:val="20"/>
              </w:rPr>
              <w:t>Alt 2:</w:t>
            </w:r>
            <w:r w:rsidRPr="00695FD9">
              <w:rPr>
                <w:sz w:val="20"/>
                <w:szCs w:val="20"/>
              </w:rPr>
              <w:t xml:space="preserve"> TCI state activation of a candidate cell is received together with the reception of beam indication of the candidate cell</w:t>
            </w:r>
          </w:p>
          <w:p w:rsidR="00695FD9" w:rsidRPr="00695FD9" w:rsidRDefault="00695FD9" w:rsidP="00695FD9">
            <w:pPr>
              <w:pStyle w:val="a7"/>
              <w:numPr>
                <w:ilvl w:val="1"/>
                <w:numId w:val="24"/>
              </w:numPr>
              <w:snapToGrid w:val="0"/>
              <w:contextualSpacing w:val="0"/>
              <w:jc w:val="both"/>
              <w:rPr>
                <w:sz w:val="20"/>
                <w:szCs w:val="20"/>
              </w:rPr>
            </w:pPr>
            <w:r w:rsidRPr="00695FD9">
              <w:rPr>
                <w:sz w:val="20"/>
                <w:szCs w:val="20"/>
              </w:rPr>
              <w:t>FFS: signalling details for TCI state indication, if both activation and indication are done in the same MAC CE message carrying switch command</w:t>
            </w:r>
          </w:p>
          <w:p w:rsidR="00695FD9" w:rsidRPr="00695FD9" w:rsidRDefault="00695FD9" w:rsidP="00695FD9">
            <w:pPr>
              <w:pStyle w:val="a7"/>
              <w:numPr>
                <w:ilvl w:val="0"/>
                <w:numId w:val="24"/>
              </w:numPr>
              <w:snapToGrid w:val="0"/>
              <w:contextualSpacing w:val="0"/>
              <w:jc w:val="both"/>
              <w:rPr>
                <w:sz w:val="20"/>
                <w:szCs w:val="20"/>
              </w:rPr>
            </w:pPr>
            <w:r w:rsidRPr="00695FD9">
              <w:rPr>
                <w:b/>
                <w:bCs/>
                <w:sz w:val="20"/>
                <w:szCs w:val="20"/>
              </w:rPr>
              <w:t>Alt 3:</w:t>
            </w:r>
            <w:r w:rsidRPr="00695FD9">
              <w:rPr>
                <w:sz w:val="20"/>
                <w:szCs w:val="20"/>
              </w:rPr>
              <w:t xml:space="preserve"> Alt 1 and/or Alt 2 can be supported based on the UE capability</w:t>
            </w:r>
          </w:p>
          <w:p w:rsidR="00695FD9" w:rsidRPr="00695FD9" w:rsidRDefault="00695FD9" w:rsidP="00695FD9">
            <w:pPr>
              <w:rPr>
                <w:rFonts w:ascii="Times New Roman" w:hAnsi="Times New Roman" w:cs="Times New Roman"/>
                <w:sz w:val="20"/>
                <w:szCs w:val="20"/>
              </w:rPr>
            </w:pPr>
            <w:r w:rsidRPr="00695FD9">
              <w:rPr>
                <w:rFonts w:ascii="Times New Roman" w:hAnsi="Times New Roman" w:cs="Times New Roman"/>
                <w:b/>
                <w:bCs/>
                <w:sz w:val="20"/>
                <w:szCs w:val="20"/>
              </w:rPr>
              <w:t>FFS:</w:t>
            </w:r>
            <w:r w:rsidRPr="00695FD9">
              <w:rPr>
                <w:rFonts w:ascii="Times New Roman" w:hAnsi="Times New Roman" w:cs="Times New Roman"/>
                <w:sz w:val="20"/>
                <w:szCs w:val="20"/>
              </w:rPr>
              <w:t xml:space="preserve"> signalling details for TCI state activation</w:t>
            </w:r>
          </w:p>
          <w:p w:rsidR="00695FD9" w:rsidRPr="00695FD9" w:rsidRDefault="00695FD9" w:rsidP="00695FD9">
            <w:pPr>
              <w:rPr>
                <w:rFonts w:ascii="Times New Roman" w:hAnsi="Times New Roman" w:cs="Times New Roman"/>
                <w:sz w:val="20"/>
                <w:szCs w:val="20"/>
              </w:rPr>
            </w:pPr>
            <w:r w:rsidRPr="00695FD9">
              <w:rPr>
                <w:rFonts w:ascii="Times New Roman" w:hAnsi="Times New Roman" w:cs="Times New Roman"/>
                <w:b/>
                <w:bCs/>
                <w:sz w:val="20"/>
                <w:szCs w:val="20"/>
              </w:rPr>
              <w:t>FFS:</w:t>
            </w:r>
            <w:r w:rsidRPr="00695FD9">
              <w:rPr>
                <w:rFonts w:ascii="Times New Roman" w:hAnsi="Times New Roman" w:cs="Times New Roman"/>
                <w:sz w:val="20"/>
                <w:szCs w:val="20"/>
              </w:rPr>
              <w:t xml:space="preserve"> For Alt 1, whether/how TCI state activation for candidate cell(s) is allowed</w:t>
            </w:r>
          </w:p>
          <w:p w:rsidR="00695FD9" w:rsidRPr="00695FD9" w:rsidRDefault="00695FD9" w:rsidP="00695FD9">
            <w:r w:rsidRPr="00695FD9">
              <w:rPr>
                <w:rFonts w:ascii="Times New Roman" w:hAnsi="Times New Roman" w:cs="Times New Roman"/>
                <w:b/>
                <w:bCs/>
                <w:sz w:val="20"/>
                <w:szCs w:val="20"/>
              </w:rPr>
              <w:t>Note:</w:t>
            </w:r>
            <w:r w:rsidRPr="00695FD9">
              <w:rPr>
                <w:rFonts w:ascii="Times New Roman" w:hAnsi="Times New Roman" w:cs="Times New Roman"/>
                <w:sz w:val="20"/>
                <w:szCs w:val="20"/>
              </w:rPr>
              <w:t xml:space="preserve"> If scenarios 1 and 3 are to be supported other beam indication/TCI activation timing relationships are not precluded.</w:t>
            </w:r>
          </w:p>
        </w:tc>
      </w:tr>
    </w:tbl>
    <w:p w:rsidR="009E43EE" w:rsidRPr="006330FF" w:rsidRDefault="00D41B9B" w:rsidP="0051229C">
      <w:pPr>
        <w:rPr>
          <w:rFonts w:ascii="Times New Roman" w:hAnsi="Times New Roman" w:cs="Times New Roman"/>
          <w:b/>
          <w:sz w:val="20"/>
          <w:szCs w:val="20"/>
          <w:lang w:val="en-GB"/>
        </w:rPr>
      </w:pPr>
      <w:r>
        <w:rPr>
          <w:rFonts w:ascii="Times New Roman" w:hAnsi="Times New Roman" w:cs="Times New Roman"/>
          <w:sz w:val="20"/>
          <w:szCs w:val="20"/>
          <w:lang w:val="en-GB"/>
        </w:rPr>
        <w:t xml:space="preserve">RAN1 has agreed to support TCI state activation of a candidate cell before the reception of cell switch command. </w:t>
      </w:r>
      <w:r w:rsidR="00130412">
        <w:rPr>
          <w:rFonts w:ascii="Times New Roman" w:hAnsi="Times New Roman" w:cs="Times New Roman"/>
          <w:sz w:val="20"/>
          <w:szCs w:val="20"/>
          <w:lang w:val="en-GB"/>
        </w:rPr>
        <w:t>T</w:t>
      </w:r>
      <w:r w:rsidR="00695FD9">
        <w:rPr>
          <w:rFonts w:ascii="Times New Roman" w:hAnsi="Times New Roman" w:cs="Times New Roman"/>
          <w:sz w:val="20"/>
          <w:szCs w:val="20"/>
          <w:lang w:val="en-GB"/>
        </w:rPr>
        <w:t xml:space="preserve">he motivation of activating TCI state </w:t>
      </w:r>
      <w:r w:rsidR="00242096">
        <w:rPr>
          <w:rFonts w:ascii="Times New Roman" w:hAnsi="Times New Roman" w:cs="Times New Roman"/>
          <w:sz w:val="20"/>
          <w:szCs w:val="20"/>
          <w:lang w:val="en-GB"/>
        </w:rPr>
        <w:t xml:space="preserve">for a candidate cell is to skip fine T/F time tracking during cell switch procedure and the UE can receive PDSCH/PDCCH after cell switch without TCI state activation. </w:t>
      </w:r>
      <w:r>
        <w:rPr>
          <w:rFonts w:ascii="Times New Roman" w:hAnsi="Times New Roman" w:cs="Times New Roman"/>
          <w:sz w:val="20"/>
          <w:szCs w:val="20"/>
          <w:lang w:val="en-GB"/>
        </w:rPr>
        <w:t xml:space="preserve">From RAN4 perspective, </w:t>
      </w:r>
      <w:r w:rsidR="00130412">
        <w:rPr>
          <w:rFonts w:ascii="Times New Roman" w:hAnsi="Times New Roman" w:cs="Times New Roman"/>
          <w:sz w:val="20"/>
          <w:szCs w:val="20"/>
          <w:lang w:val="en-GB"/>
        </w:rPr>
        <w:t>the RRM impact due to TCI state activation and T/F fine tracking on candidate cell(s).</w:t>
      </w:r>
      <w:r w:rsidR="00E63A81">
        <w:rPr>
          <w:rFonts w:ascii="Times New Roman" w:hAnsi="Times New Roman" w:cs="Times New Roman"/>
          <w:sz w:val="20"/>
          <w:szCs w:val="20"/>
          <w:lang w:val="en-GB"/>
        </w:rPr>
        <w:t xml:space="preserve"> </w:t>
      </w:r>
      <w:r w:rsidR="00C91866">
        <w:rPr>
          <w:rFonts w:ascii="Times New Roman" w:hAnsi="Times New Roman" w:cs="Times New Roman"/>
          <w:sz w:val="20"/>
          <w:szCs w:val="20"/>
          <w:lang w:val="en-GB"/>
        </w:rPr>
        <w:t xml:space="preserve">According to RAN1 agreements, </w:t>
      </w:r>
      <w:r w:rsidR="006B73D4">
        <w:rPr>
          <w:rFonts w:ascii="Times New Roman" w:hAnsi="Times New Roman" w:cs="Times New Roman"/>
          <w:sz w:val="20"/>
          <w:szCs w:val="20"/>
          <w:lang w:val="en-GB"/>
        </w:rPr>
        <w:t xml:space="preserve">the UE is required to report SSB based L1 measurement report across L cells from configured cells, i.e. M beams for each of the L cells. However, if the UE is configured to activate TCI state on L candidate cells, </w:t>
      </w:r>
      <w:r w:rsidR="00E63A81">
        <w:rPr>
          <w:rFonts w:ascii="Times New Roman" w:hAnsi="Times New Roman" w:cs="Times New Roman"/>
          <w:sz w:val="20"/>
          <w:szCs w:val="20"/>
          <w:lang w:val="en-GB"/>
        </w:rPr>
        <w:t xml:space="preserve">the UE may not be able </w:t>
      </w:r>
      <w:r w:rsidR="00F5529E">
        <w:rPr>
          <w:rFonts w:ascii="Times New Roman" w:hAnsi="Times New Roman" w:cs="Times New Roman"/>
          <w:sz w:val="20"/>
          <w:szCs w:val="20"/>
          <w:lang w:val="en-GB"/>
        </w:rPr>
        <w:t xml:space="preserve">to monitor T/F fine time tracking </w:t>
      </w:r>
      <w:r w:rsidR="006B73D4">
        <w:rPr>
          <w:rFonts w:ascii="Times New Roman" w:hAnsi="Times New Roman" w:cs="Times New Roman"/>
          <w:sz w:val="20"/>
          <w:szCs w:val="20"/>
          <w:lang w:val="en-GB"/>
        </w:rPr>
        <w:t>on</w:t>
      </w:r>
      <w:r w:rsidR="00F5529E">
        <w:rPr>
          <w:rFonts w:ascii="Times New Roman" w:hAnsi="Times New Roman" w:cs="Times New Roman"/>
          <w:sz w:val="20"/>
          <w:szCs w:val="20"/>
          <w:lang w:val="en-GB"/>
        </w:rPr>
        <w:t xml:space="preserve"> the </w:t>
      </w:r>
      <w:r w:rsidR="006B73D4">
        <w:rPr>
          <w:rFonts w:ascii="Times New Roman" w:hAnsi="Times New Roman" w:cs="Times New Roman"/>
          <w:sz w:val="20"/>
          <w:szCs w:val="20"/>
          <w:lang w:val="en-GB"/>
        </w:rPr>
        <w:t>L</w:t>
      </w:r>
      <w:r w:rsidR="00F5529E">
        <w:rPr>
          <w:rFonts w:ascii="Times New Roman" w:hAnsi="Times New Roman" w:cs="Times New Roman"/>
          <w:sz w:val="20"/>
          <w:szCs w:val="20"/>
          <w:lang w:val="en-GB"/>
        </w:rPr>
        <w:t xml:space="preserve"> candidate cells</w:t>
      </w:r>
      <w:r w:rsidR="006B73D4">
        <w:rPr>
          <w:rFonts w:ascii="Times New Roman" w:hAnsi="Times New Roman" w:cs="Times New Roman"/>
          <w:sz w:val="20"/>
          <w:szCs w:val="20"/>
          <w:lang w:val="en-GB"/>
        </w:rPr>
        <w:t>, as from RAN4 requirement perspective, the UE is request to perform T/F fine tracking on candidate at least 160ms</w:t>
      </w:r>
      <w:r w:rsidR="00F5529E">
        <w:rPr>
          <w:rFonts w:ascii="Times New Roman" w:hAnsi="Times New Roman" w:cs="Times New Roman"/>
          <w:sz w:val="20"/>
          <w:szCs w:val="20"/>
          <w:lang w:val="en-GB"/>
        </w:rPr>
        <w:t xml:space="preserve">. </w:t>
      </w:r>
      <w:r w:rsidR="000324CA">
        <w:rPr>
          <w:rFonts w:ascii="Times New Roman" w:hAnsi="Times New Roman" w:cs="Times New Roman"/>
          <w:sz w:val="20"/>
          <w:szCs w:val="20"/>
          <w:lang w:val="en-GB"/>
        </w:rPr>
        <w:t>In addition to the UE capability on SSB based L1-RSRP measurement report defined in RAN1, RAN4 also needs to define a new</w:t>
      </w:r>
      <w:r w:rsidR="00F5529E">
        <w:rPr>
          <w:rFonts w:ascii="Times New Roman" w:hAnsi="Times New Roman" w:cs="Times New Roman"/>
          <w:sz w:val="20"/>
          <w:szCs w:val="20"/>
          <w:lang w:val="en-GB"/>
        </w:rPr>
        <w:t xml:space="preserve"> UE capability on T/F fine time tracking </w:t>
      </w:r>
      <w:r w:rsidR="000324CA">
        <w:rPr>
          <w:rFonts w:ascii="Times New Roman" w:hAnsi="Times New Roman" w:cs="Times New Roman"/>
          <w:sz w:val="20"/>
          <w:szCs w:val="20"/>
          <w:lang w:val="en-GB"/>
        </w:rPr>
        <w:t>of</w:t>
      </w:r>
      <w:r w:rsidR="00F5529E">
        <w:rPr>
          <w:rFonts w:ascii="Times New Roman" w:hAnsi="Times New Roman" w:cs="Times New Roman"/>
          <w:sz w:val="20"/>
          <w:szCs w:val="20"/>
          <w:lang w:val="en-GB"/>
        </w:rPr>
        <w:t xml:space="preserve"> candidate cells. In addition, </w:t>
      </w:r>
      <w:r w:rsidR="000324CA">
        <w:rPr>
          <w:rFonts w:ascii="Times New Roman" w:hAnsi="Times New Roman" w:cs="Times New Roman"/>
          <w:sz w:val="20"/>
          <w:szCs w:val="20"/>
          <w:lang w:val="en-GB"/>
        </w:rPr>
        <w:t>RAN4 also needs to discuss the delay requirement for TCI state activation for multiple candidate cells</w:t>
      </w:r>
      <w:r w:rsidR="0017748B">
        <w:rPr>
          <w:rFonts w:ascii="Times New Roman" w:hAnsi="Times New Roman" w:cs="Times New Roman"/>
          <w:sz w:val="20"/>
          <w:szCs w:val="20"/>
          <w:lang w:val="en-GB"/>
        </w:rPr>
        <w:t>.</w:t>
      </w:r>
    </w:p>
    <w:p w:rsidR="000324CA" w:rsidRDefault="000324CA" w:rsidP="000324C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0837">
        <w:rPr>
          <w:rFonts w:ascii="Times New Roman" w:hAnsi="Times New Roman" w:cs="Times New Roman"/>
          <w:b/>
          <w:sz w:val="20"/>
          <w:szCs w:val="20"/>
          <w:lang w:val="en-GB"/>
        </w:rPr>
        <w:t xml:space="preserve">: </w:t>
      </w:r>
      <w:r w:rsidRPr="000324CA">
        <w:rPr>
          <w:rFonts w:ascii="Times New Roman" w:hAnsi="Times New Roman" w:cs="Times New Roman"/>
          <w:b/>
          <w:sz w:val="20"/>
          <w:szCs w:val="20"/>
          <w:lang w:val="en-GB"/>
        </w:rPr>
        <w:t xml:space="preserve">RAN4 </w:t>
      </w:r>
      <w:r>
        <w:rPr>
          <w:rFonts w:ascii="Times New Roman" w:hAnsi="Times New Roman" w:cs="Times New Roman"/>
          <w:b/>
          <w:sz w:val="20"/>
          <w:szCs w:val="20"/>
          <w:lang w:val="en-GB"/>
        </w:rPr>
        <w:t>to</w:t>
      </w:r>
      <w:r w:rsidRPr="000324CA">
        <w:rPr>
          <w:rFonts w:ascii="Times New Roman" w:hAnsi="Times New Roman" w:cs="Times New Roman"/>
          <w:b/>
          <w:sz w:val="20"/>
          <w:szCs w:val="20"/>
          <w:lang w:val="en-GB"/>
        </w:rPr>
        <w:t xml:space="preserve"> define a new UE capability </w:t>
      </w:r>
      <w:r>
        <w:rPr>
          <w:rFonts w:ascii="Times New Roman" w:hAnsi="Times New Roman" w:cs="Times New Roman"/>
          <w:b/>
          <w:sz w:val="20"/>
          <w:szCs w:val="20"/>
          <w:lang w:val="en-GB"/>
        </w:rPr>
        <w:t xml:space="preserve">to support </w:t>
      </w:r>
      <w:r w:rsidRPr="000324CA">
        <w:rPr>
          <w:rFonts w:ascii="Times New Roman" w:hAnsi="Times New Roman" w:cs="Times New Roman"/>
          <w:b/>
          <w:sz w:val="20"/>
          <w:szCs w:val="20"/>
          <w:lang w:val="en-GB"/>
        </w:rPr>
        <w:t xml:space="preserve">T/F fine </w:t>
      </w:r>
      <w:r>
        <w:rPr>
          <w:rFonts w:ascii="Times New Roman" w:hAnsi="Times New Roman" w:cs="Times New Roman"/>
          <w:b/>
          <w:sz w:val="20"/>
          <w:szCs w:val="20"/>
          <w:lang w:val="en-GB"/>
        </w:rPr>
        <w:t>tracking on multiple candidate cells</w:t>
      </w:r>
      <w:r w:rsidRPr="00870078">
        <w:rPr>
          <w:rFonts w:ascii="Times New Roman" w:hAnsi="Times New Roman" w:cs="Times New Roman"/>
          <w:b/>
          <w:sz w:val="20"/>
          <w:szCs w:val="20"/>
          <w:lang w:val="en-GB"/>
        </w:rPr>
        <w:t>.</w:t>
      </w:r>
    </w:p>
    <w:p w:rsidR="000324CA" w:rsidRPr="008B01A1" w:rsidRDefault="000324CA" w:rsidP="000324C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200837">
        <w:rPr>
          <w:rFonts w:ascii="Times New Roman" w:hAnsi="Times New Roman" w:cs="Times New Roman"/>
          <w:b/>
          <w:sz w:val="20"/>
          <w:szCs w:val="20"/>
          <w:lang w:val="en-GB"/>
        </w:rPr>
        <w:t xml:space="preserve">: </w:t>
      </w:r>
      <w:r w:rsidRPr="000324CA">
        <w:rPr>
          <w:rFonts w:ascii="Times New Roman" w:hAnsi="Times New Roman" w:cs="Times New Roman"/>
          <w:b/>
          <w:sz w:val="20"/>
          <w:szCs w:val="20"/>
          <w:lang w:val="en-GB"/>
        </w:rPr>
        <w:t xml:space="preserve">RAN4 </w:t>
      </w:r>
      <w:r>
        <w:rPr>
          <w:rFonts w:ascii="Times New Roman" w:hAnsi="Times New Roman" w:cs="Times New Roman"/>
          <w:b/>
          <w:sz w:val="20"/>
          <w:szCs w:val="20"/>
          <w:lang w:val="en-GB"/>
        </w:rPr>
        <w:t>to</w:t>
      </w:r>
      <w:r w:rsidRPr="000324CA">
        <w:rPr>
          <w:rFonts w:ascii="Times New Roman" w:hAnsi="Times New Roman" w:cs="Times New Roman"/>
          <w:b/>
          <w:sz w:val="20"/>
          <w:szCs w:val="20"/>
          <w:lang w:val="en-GB"/>
        </w:rPr>
        <w:t xml:space="preserve"> </w:t>
      </w:r>
      <w:r>
        <w:rPr>
          <w:rFonts w:ascii="Times New Roman" w:hAnsi="Times New Roman" w:cs="Times New Roman"/>
          <w:b/>
          <w:sz w:val="20"/>
          <w:szCs w:val="20"/>
          <w:lang w:val="en-GB"/>
        </w:rPr>
        <w:t>discuss</w:t>
      </w:r>
      <w:r w:rsidRPr="000324CA">
        <w:rPr>
          <w:rFonts w:ascii="Times New Roman" w:hAnsi="Times New Roman" w:cs="Times New Roman"/>
          <w:b/>
          <w:sz w:val="20"/>
          <w:szCs w:val="20"/>
          <w:lang w:val="en-GB"/>
        </w:rPr>
        <w:t xml:space="preserve"> the delay requirement </w:t>
      </w:r>
      <w:r>
        <w:rPr>
          <w:rFonts w:ascii="Times New Roman" w:hAnsi="Times New Roman" w:cs="Times New Roman"/>
          <w:b/>
          <w:sz w:val="20"/>
          <w:szCs w:val="20"/>
          <w:lang w:val="en-GB"/>
        </w:rPr>
        <w:t xml:space="preserve">of </w:t>
      </w:r>
      <w:r w:rsidRPr="000324CA">
        <w:rPr>
          <w:rFonts w:ascii="Times New Roman" w:hAnsi="Times New Roman" w:cs="Times New Roman"/>
          <w:b/>
          <w:sz w:val="20"/>
          <w:szCs w:val="20"/>
          <w:lang w:val="en-GB"/>
        </w:rPr>
        <w:t>TCI state activation for multiple candidate cells</w:t>
      </w:r>
      <w:r w:rsidRPr="00870078">
        <w:rPr>
          <w:rFonts w:ascii="Times New Roman" w:hAnsi="Times New Roman" w:cs="Times New Roman"/>
          <w:b/>
          <w:sz w:val="20"/>
          <w:szCs w:val="20"/>
          <w:lang w:val="en-GB"/>
        </w:rPr>
        <w:t>.</w:t>
      </w:r>
    </w:p>
    <w:p w:rsidR="00347843" w:rsidRPr="008B01A1" w:rsidRDefault="00347843" w:rsidP="008B01A1">
      <w:pPr>
        <w:spacing w:after="180"/>
        <w:rPr>
          <w:rFonts w:ascii="Times New Roman" w:hAnsi="Times New Roman" w:cs="Times New Roman"/>
          <w:b/>
          <w:sz w:val="20"/>
          <w:szCs w:val="20"/>
          <w:u w:val="single"/>
        </w:rPr>
      </w:pPr>
      <w:r>
        <w:rPr>
          <w:rFonts w:ascii="Times New Roman" w:hAnsi="Times New Roman" w:cs="Times New Roman" w:hint="eastAsia"/>
          <w:b/>
          <w:sz w:val="20"/>
          <w:szCs w:val="20"/>
          <w:u w:val="single"/>
        </w:rPr>
        <w:t>U</w:t>
      </w:r>
      <w:r w:rsidRPr="00EC1F0F">
        <w:rPr>
          <w:rFonts w:ascii="Times New Roman" w:hAnsi="Times New Roman" w:cs="Times New Roman"/>
          <w:b/>
          <w:sz w:val="20"/>
          <w:szCs w:val="20"/>
          <w:u w:val="single"/>
        </w:rPr>
        <w:t>L synchronization before cell switch command</w:t>
      </w:r>
    </w:p>
    <w:tbl>
      <w:tblPr>
        <w:tblW w:w="84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1011CC" w:rsidTr="001011CC">
        <w:trPr>
          <w:trHeight w:val="893"/>
        </w:trPr>
        <w:tc>
          <w:tcPr>
            <w:tcW w:w="8458" w:type="dxa"/>
          </w:tcPr>
          <w:p w:rsidR="008B01A1" w:rsidRPr="008B01A1" w:rsidRDefault="008B01A1" w:rsidP="008B01A1">
            <w:pPr>
              <w:rPr>
                <w:rFonts w:ascii="Times New Roman" w:hAnsi="Times New Roman" w:cs="Times New Roman"/>
                <w:b/>
                <w:sz w:val="20"/>
                <w:szCs w:val="20"/>
                <w:u w:val="single"/>
              </w:rPr>
            </w:pPr>
            <w:r w:rsidRPr="008B01A1">
              <w:rPr>
                <w:rFonts w:ascii="Times New Roman" w:hAnsi="Times New Roman" w:cs="Times New Roman"/>
                <w:b/>
                <w:sz w:val="20"/>
                <w:szCs w:val="20"/>
                <w:u w:val="single"/>
              </w:rPr>
              <w:t>Issue 1-2-2-6: Whether to update the legacy components in the legacy delay requirements specified for PDCCH ordered RACH transmission on serving cell in RAN1</w:t>
            </w:r>
          </w:p>
          <w:p w:rsidR="008B01A1" w:rsidRPr="008B01A1" w:rsidRDefault="008B01A1" w:rsidP="008B01A1">
            <w:pPr>
              <w:rPr>
                <w:rFonts w:ascii="Times New Roman" w:eastAsia="宋体" w:hAnsi="Times New Roman" w:cs="Times New Roman"/>
                <w:b/>
                <w:bCs/>
                <w:sz w:val="20"/>
                <w:szCs w:val="20"/>
              </w:rPr>
            </w:pPr>
            <w:r w:rsidRPr="008B01A1">
              <w:rPr>
                <w:rFonts w:ascii="Times New Roman" w:eastAsia="宋体" w:hAnsi="Times New Roman" w:cs="Times New Roman"/>
                <w:b/>
                <w:bCs/>
                <w:sz w:val="20"/>
                <w:szCs w:val="20"/>
              </w:rPr>
              <w:t>&lt;Agreement&gt;</w:t>
            </w:r>
          </w:p>
          <w:p w:rsidR="008B01A1" w:rsidRPr="008B01A1" w:rsidRDefault="008B01A1" w:rsidP="008B01A1">
            <w:pPr>
              <w:pStyle w:val="a7"/>
              <w:numPr>
                <w:ilvl w:val="0"/>
                <w:numId w:val="4"/>
              </w:numPr>
              <w:contextualSpacing w:val="0"/>
              <w:rPr>
                <w:bCs/>
                <w:sz w:val="20"/>
                <w:szCs w:val="20"/>
              </w:rPr>
            </w:pPr>
            <w:r w:rsidRPr="008B01A1">
              <w:rPr>
                <w:bCs/>
                <w:sz w:val="20"/>
                <w:szCs w:val="20"/>
              </w:rPr>
              <w:t>On top of specified delay requirement in RAN1 as below the RAN4 agreed</w:t>
            </w:r>
          </w:p>
          <w:p w:rsidR="008B01A1" w:rsidRPr="008B01A1" w:rsidRDefault="008B01A1" w:rsidP="008B01A1">
            <w:pPr>
              <w:widowControl/>
              <w:numPr>
                <w:ilvl w:val="1"/>
                <w:numId w:val="4"/>
              </w:numPr>
              <w:suppressAutoHyphens/>
              <w:rPr>
                <w:rFonts w:ascii="Times New Roman" w:hAnsi="Times New Roman" w:cs="Times New Roman"/>
                <w:i/>
                <w:iCs/>
                <w:sz w:val="20"/>
                <w:szCs w:val="20"/>
                <w:lang w:eastAsia="ar-SA"/>
              </w:rPr>
            </w:pPr>
            <w:r w:rsidRPr="008B01A1">
              <w:rPr>
                <w:rFonts w:ascii="Times New Roman" w:hAnsi="Times New Roman" w:cs="Times New Roman"/>
                <w:i/>
                <w:iCs/>
                <w:sz w:val="20"/>
                <w:szCs w:val="20"/>
                <w:lang w:eastAsia="ar-SA"/>
              </w:rPr>
              <w:lastRenderedPageBreak/>
              <w:t xml:space="preserve">For PDCCH ordered CFRA, the minimum timing gap between PDCCH order reception and Msg1 transmission is  </w:t>
            </w:r>
          </w:p>
          <w:p w:rsidR="008B01A1" w:rsidRPr="008B01A1" w:rsidRDefault="005A4FA8" w:rsidP="008B01A1">
            <w:pPr>
              <w:widowControl/>
              <w:numPr>
                <w:ilvl w:val="2"/>
                <w:numId w:val="4"/>
              </w:numPr>
              <w:rPr>
                <w:rFonts w:ascii="Times New Roman" w:eastAsia="Yu Mincho" w:hAnsi="Times New Roman" w:cs="Times New Roman"/>
                <w:i/>
                <w:iCs/>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T,2</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m:t>
                  </m:r>
                </m:e>
                <m:sub>
                  <m:r>
                    <m:rPr>
                      <m:sty m:val="p"/>
                    </m:rPr>
                    <w:rPr>
                      <w:rFonts w:ascii="Cambria Math" w:hAnsi="Cambria Math" w:cs="Times New Roman"/>
                      <w:sz w:val="20"/>
                      <w:szCs w:val="20"/>
                    </w:rPr>
                    <m:t>BWPSwitching</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m:rPr>
                      <m:sty m:val="p"/>
                    </m:rPr>
                    <w:rPr>
                      <w:rFonts w:ascii="Cambria Math" w:hAnsi="Cambria Math" w:cs="Times New Roman"/>
                      <w:sz w:val="20"/>
                      <w:szCs w:val="20"/>
                    </w:rPr>
                    <m:t>Delay</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switch</m:t>
                  </m:r>
                </m:sub>
              </m:sSub>
            </m:oMath>
            <w:r w:rsidR="008B01A1" w:rsidRPr="008B01A1">
              <w:rPr>
                <w:rFonts w:ascii="Times New Roman" w:hAnsi="Times New Roman" w:cs="Times New Roman"/>
                <w:sz w:val="20"/>
                <w:szCs w:val="20"/>
              </w:rPr>
              <w:t xml:space="preserve"> </w:t>
            </w:r>
            <w:r w:rsidR="008B01A1" w:rsidRPr="008B01A1">
              <w:rPr>
                <w:rFonts w:ascii="Times New Roman" w:eastAsia="Yu Mincho" w:hAnsi="Times New Roman" w:cs="Times New Roman"/>
                <w:i/>
                <w:iCs/>
                <w:sz w:val="20"/>
                <w:szCs w:val="20"/>
              </w:rPr>
              <w:t xml:space="preserve"> </w:t>
            </w:r>
          </w:p>
          <w:p w:rsidR="008B01A1" w:rsidRPr="008B01A1" w:rsidRDefault="008B01A1" w:rsidP="008B01A1">
            <w:pPr>
              <w:pStyle w:val="a7"/>
              <w:numPr>
                <w:ilvl w:val="1"/>
                <w:numId w:val="4"/>
              </w:numPr>
              <w:contextualSpacing w:val="0"/>
              <w:rPr>
                <w:bCs/>
                <w:sz w:val="20"/>
                <w:szCs w:val="20"/>
              </w:rPr>
            </w:pPr>
            <w:r w:rsidRPr="008B01A1">
              <w:rPr>
                <w:bCs/>
                <w:sz w:val="20"/>
                <w:szCs w:val="20"/>
              </w:rPr>
              <w:t>Do not change ∆</w:t>
            </w:r>
            <w:r w:rsidRPr="008B01A1">
              <w:rPr>
                <w:bCs/>
                <w:sz w:val="20"/>
                <w:szCs w:val="20"/>
                <w:vertAlign w:val="subscript"/>
              </w:rPr>
              <w:t xml:space="preserve">Delay </w:t>
            </w:r>
            <w:r w:rsidRPr="008B01A1">
              <w:rPr>
                <w:bCs/>
                <w:sz w:val="20"/>
                <w:szCs w:val="20"/>
              </w:rPr>
              <w:t>component</w:t>
            </w:r>
          </w:p>
          <w:p w:rsidR="008B01A1" w:rsidRPr="008B01A1" w:rsidRDefault="008B01A1" w:rsidP="008B01A1">
            <w:pPr>
              <w:pStyle w:val="a7"/>
              <w:numPr>
                <w:ilvl w:val="1"/>
                <w:numId w:val="4"/>
              </w:numPr>
              <w:contextualSpacing w:val="0"/>
              <w:rPr>
                <w:bCs/>
                <w:sz w:val="20"/>
                <w:szCs w:val="20"/>
              </w:rPr>
            </w:pPr>
            <w:r w:rsidRPr="008B01A1">
              <w:rPr>
                <w:bCs/>
                <w:sz w:val="20"/>
                <w:szCs w:val="20"/>
              </w:rPr>
              <w:t>FFS for ∆</w:t>
            </w:r>
            <w:r w:rsidRPr="008B01A1">
              <w:rPr>
                <w:bCs/>
                <w:sz w:val="20"/>
                <w:szCs w:val="20"/>
                <w:vertAlign w:val="subscript"/>
              </w:rPr>
              <w:t xml:space="preserve">BWPSwitching </w:t>
            </w:r>
          </w:p>
          <w:p w:rsidR="008B01A1" w:rsidRPr="008B01A1" w:rsidRDefault="008B01A1" w:rsidP="008B01A1">
            <w:pPr>
              <w:pStyle w:val="a7"/>
              <w:numPr>
                <w:ilvl w:val="2"/>
                <w:numId w:val="4"/>
              </w:numPr>
              <w:contextualSpacing w:val="0"/>
              <w:rPr>
                <w:bCs/>
                <w:sz w:val="20"/>
                <w:szCs w:val="20"/>
              </w:rPr>
            </w:pPr>
            <w:r w:rsidRPr="008B01A1">
              <w:rPr>
                <w:bCs/>
                <w:sz w:val="20"/>
                <w:szCs w:val="20"/>
              </w:rPr>
              <w:t>FFS whether DCI-based or RRC-based BWP switching should be applied</w:t>
            </w:r>
          </w:p>
          <w:p w:rsidR="008B01A1" w:rsidRPr="008B01A1" w:rsidRDefault="008B01A1" w:rsidP="008B01A1">
            <w:pPr>
              <w:pStyle w:val="a7"/>
              <w:numPr>
                <w:ilvl w:val="2"/>
                <w:numId w:val="4"/>
              </w:numPr>
              <w:contextualSpacing w:val="0"/>
              <w:rPr>
                <w:bCs/>
                <w:sz w:val="20"/>
                <w:szCs w:val="20"/>
              </w:rPr>
            </w:pPr>
            <w:r w:rsidRPr="008B01A1">
              <w:rPr>
                <w:bCs/>
                <w:sz w:val="20"/>
                <w:szCs w:val="20"/>
              </w:rPr>
              <w:t>FFS whether to keep or remove the component</w:t>
            </w:r>
          </w:p>
          <w:p w:rsidR="008B01A1" w:rsidRPr="008B01A1" w:rsidRDefault="008B01A1" w:rsidP="008B01A1">
            <w:pPr>
              <w:pStyle w:val="a7"/>
              <w:numPr>
                <w:ilvl w:val="1"/>
                <w:numId w:val="4"/>
              </w:numPr>
              <w:contextualSpacing w:val="0"/>
              <w:rPr>
                <w:bCs/>
                <w:sz w:val="20"/>
                <w:szCs w:val="20"/>
              </w:rPr>
            </w:pPr>
            <w:r w:rsidRPr="008B01A1">
              <w:rPr>
                <w:bCs/>
                <w:sz w:val="20"/>
                <w:szCs w:val="20"/>
              </w:rPr>
              <w:t>FFS for additional delays components</w:t>
            </w:r>
          </w:p>
          <w:p w:rsidR="008B01A1" w:rsidRPr="008B01A1" w:rsidRDefault="008B01A1" w:rsidP="008B01A1">
            <w:pPr>
              <w:pStyle w:val="a7"/>
              <w:numPr>
                <w:ilvl w:val="2"/>
                <w:numId w:val="4"/>
              </w:numPr>
              <w:contextualSpacing w:val="0"/>
              <w:rPr>
                <w:bCs/>
                <w:sz w:val="20"/>
                <w:szCs w:val="20"/>
              </w:rPr>
            </w:pPr>
            <w:r w:rsidRPr="008B01A1">
              <w:rPr>
                <w:bCs/>
                <w:sz w:val="20"/>
                <w:szCs w:val="20"/>
              </w:rPr>
              <w:t>Option 1: 1 SSB occasion for T/F tracking</w:t>
            </w:r>
          </w:p>
          <w:p w:rsidR="001011CC" w:rsidRPr="008B01A1" w:rsidRDefault="008B01A1" w:rsidP="008B01A1">
            <w:pPr>
              <w:pStyle w:val="a7"/>
              <w:numPr>
                <w:ilvl w:val="2"/>
                <w:numId w:val="4"/>
              </w:numPr>
              <w:contextualSpacing w:val="0"/>
              <w:rPr>
                <w:rFonts w:cstheme="minorHAnsi"/>
                <w:bCs/>
              </w:rPr>
            </w:pPr>
            <w:r w:rsidRPr="008B01A1">
              <w:rPr>
                <w:bCs/>
                <w:sz w:val="20"/>
                <w:szCs w:val="20"/>
              </w:rPr>
              <w:t>Option 2: additional time for RF and/or BB preparation and retuning</w:t>
            </w:r>
          </w:p>
        </w:tc>
      </w:tr>
    </w:tbl>
    <w:p w:rsidR="007626A1" w:rsidRDefault="007626A1"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I</w:t>
      </w:r>
      <w:r>
        <w:rPr>
          <w:rFonts w:ascii="Times New Roman" w:hAnsi="Times New Roman" w:cs="Times New Roman"/>
          <w:sz w:val="20"/>
          <w:szCs w:val="20"/>
          <w:lang w:val="en-GB"/>
        </w:rPr>
        <w:t>n last meeting, RAN4 has discussed the question in the LS [2] on time gap between a PDCCH order and the corresponding PRACH transmission on neighbour cell(s).</w:t>
      </w:r>
      <w:r w:rsidR="00B62374">
        <w:rPr>
          <w:rFonts w:ascii="Times New Roman" w:hAnsi="Times New Roman" w:cs="Times New Roman"/>
          <w:sz w:val="20"/>
          <w:szCs w:val="20"/>
          <w:lang w:val="en-GB"/>
        </w:rPr>
        <w:t xml:space="preserve"> On top of the delay component defined in RAN1, the BWP switching delay is not needed, as the BWP of candidate cell is not activated before cell switch command. However, the RF tuning time and baseband processing time for loading RACH related parameters need to be considered.</w:t>
      </w:r>
    </w:p>
    <w:p w:rsidR="00B62374" w:rsidRPr="008B01A1" w:rsidRDefault="00B62374" w:rsidP="00B62374">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B62374">
        <w:rPr>
          <w:rFonts w:ascii="Times New Roman" w:hAnsi="Times New Roman" w:cs="Times New Roman"/>
          <w:b/>
          <w:sz w:val="20"/>
          <w:szCs w:val="20"/>
          <w:lang w:val="en-GB"/>
        </w:rPr>
        <w:t>: For the time gap between a PDCCH order and the corresponding PRACH transmission on neighbour cell(s)</w:t>
      </w:r>
      <w:r>
        <w:rPr>
          <w:rFonts w:ascii="Times New Roman" w:hAnsi="Times New Roman" w:cs="Times New Roman"/>
          <w:b/>
          <w:sz w:val="20"/>
          <w:szCs w:val="20"/>
          <w:lang w:val="en-GB"/>
        </w:rPr>
        <w:t xml:space="preserve">, </w:t>
      </w:r>
      <w:r w:rsidR="0005495A">
        <w:rPr>
          <w:rFonts w:ascii="Times New Roman" w:hAnsi="Times New Roman" w:cs="Times New Roman"/>
          <w:b/>
          <w:sz w:val="20"/>
          <w:szCs w:val="20"/>
          <w:lang w:val="en-GB"/>
        </w:rPr>
        <w:t xml:space="preserve">the component of </w:t>
      </w:r>
      <w:r w:rsidR="0005495A" w:rsidRPr="0005495A">
        <w:rPr>
          <w:rFonts w:ascii="Times New Roman" w:hAnsi="Times New Roman" w:cs="Times New Roman"/>
          <w:b/>
          <w:sz w:val="20"/>
          <w:szCs w:val="20"/>
          <w:lang w:val="en-GB"/>
        </w:rPr>
        <w:t>BWP switching delay</w:t>
      </w:r>
      <w:r w:rsidR="0005495A">
        <w:rPr>
          <w:rFonts w:ascii="Times New Roman" w:hAnsi="Times New Roman" w:cs="Times New Roman"/>
          <w:b/>
          <w:sz w:val="20"/>
          <w:szCs w:val="20"/>
          <w:lang w:val="en-GB"/>
        </w:rPr>
        <w:t xml:space="preserve"> is removed, instead, additional time component for RF tuning and BB preparation is considered</w:t>
      </w:r>
      <w:r w:rsidRPr="00B62374">
        <w:rPr>
          <w:rFonts w:ascii="Times New Roman" w:hAnsi="Times New Roman" w:cs="Times New Roman"/>
          <w:b/>
          <w:sz w:val="20"/>
          <w:szCs w:val="20"/>
          <w:lang w:val="en-GB"/>
        </w:rPr>
        <w:t>.</w:t>
      </w:r>
    </w:p>
    <w:p w:rsidR="00302559" w:rsidRDefault="00B62374" w:rsidP="009072EE">
      <w:pPr>
        <w:rPr>
          <w:rFonts w:ascii="Times New Roman" w:hAnsi="Times New Roman" w:cs="Times New Roman"/>
          <w:sz w:val="20"/>
          <w:szCs w:val="20"/>
          <w:lang w:val="en-GB"/>
        </w:rPr>
      </w:pPr>
      <w:r>
        <w:rPr>
          <w:rFonts w:ascii="Times New Roman" w:hAnsi="Times New Roman" w:cs="Times New Roman"/>
          <w:sz w:val="20"/>
          <w:szCs w:val="20"/>
          <w:lang w:val="en-GB"/>
        </w:rPr>
        <w:t>In addition, since</w:t>
      </w:r>
      <w:r w:rsidR="000D6479">
        <w:rPr>
          <w:rFonts w:ascii="Times New Roman" w:hAnsi="Times New Roman" w:cs="Times New Roman"/>
          <w:sz w:val="20"/>
          <w:szCs w:val="20"/>
          <w:lang w:val="en-GB"/>
        </w:rPr>
        <w:t xml:space="preserve"> RAN4 </w:t>
      </w:r>
      <w:r>
        <w:rPr>
          <w:rFonts w:ascii="Times New Roman" w:hAnsi="Times New Roman" w:cs="Times New Roman"/>
          <w:sz w:val="20"/>
          <w:szCs w:val="20"/>
          <w:lang w:val="en-GB"/>
        </w:rPr>
        <w:t>has</w:t>
      </w:r>
      <w:r w:rsidR="000D6479">
        <w:rPr>
          <w:rFonts w:ascii="Times New Roman" w:hAnsi="Times New Roman" w:cs="Times New Roman"/>
          <w:sz w:val="20"/>
          <w:szCs w:val="20"/>
          <w:lang w:val="en-GB"/>
        </w:rPr>
        <w:t xml:space="preserve"> agreed t</w:t>
      </w:r>
      <w:r w:rsidR="000D6479" w:rsidRPr="000D6479">
        <w:rPr>
          <w:rFonts w:ascii="Times New Roman" w:hAnsi="Times New Roman" w:cs="Times New Roman"/>
          <w:sz w:val="20"/>
          <w:szCs w:val="20"/>
          <w:lang w:val="en-GB"/>
        </w:rPr>
        <w:t>he legacy transmit timing accuracy requirement is applicable to PDCCH ordered RACH transmission for candidate cel</w:t>
      </w:r>
      <w:r w:rsidR="000D6479">
        <w:rPr>
          <w:rFonts w:ascii="Times New Roman" w:hAnsi="Times New Roman" w:cs="Times New Roman"/>
          <w:sz w:val="20"/>
          <w:szCs w:val="20"/>
          <w:lang w:val="en-GB"/>
        </w:rPr>
        <w:t>l(s) before cell switch command. According to existing applicability condition for Te requirement, at least one SSB is available at the UE during the last 160ms.</w:t>
      </w:r>
      <w:r w:rsidR="00426BD0">
        <w:rPr>
          <w:rFonts w:ascii="Times New Roman" w:hAnsi="Times New Roman" w:cs="Times New Roman"/>
          <w:sz w:val="20"/>
          <w:szCs w:val="20"/>
          <w:lang w:val="en-GB"/>
        </w:rPr>
        <w:t xml:space="preserve"> The UE may need to perform SSB measurement before RACH transmission on candidate cell, thus, the uncertainty delay of SSB measurement needs to be considered in existing time gap, which </w:t>
      </w:r>
      <w:r w:rsidR="0005495A">
        <w:rPr>
          <w:rFonts w:ascii="Times New Roman" w:hAnsi="Times New Roman" w:cs="Times New Roman"/>
          <w:sz w:val="20"/>
          <w:szCs w:val="20"/>
          <w:lang w:val="en-GB"/>
        </w:rPr>
        <w:t>is one SSB occasion</w:t>
      </w:r>
      <w:r w:rsidR="00426BD0">
        <w:rPr>
          <w:rFonts w:ascii="Times New Roman" w:hAnsi="Times New Roman" w:cs="Times New Roman"/>
          <w:sz w:val="20"/>
          <w:szCs w:val="20"/>
          <w:lang w:val="en-GB"/>
        </w:rPr>
        <w:t xml:space="preserve">. </w:t>
      </w:r>
    </w:p>
    <w:p w:rsidR="00494A92" w:rsidRPr="00C463BD" w:rsidRDefault="0005495A" w:rsidP="00494A9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494A92" w:rsidRPr="00200837">
        <w:rPr>
          <w:rFonts w:ascii="Times New Roman" w:hAnsi="Times New Roman" w:cs="Times New Roman"/>
          <w:b/>
          <w:sz w:val="20"/>
          <w:szCs w:val="20"/>
          <w:lang w:val="en-GB"/>
        </w:rPr>
        <w:t xml:space="preserve">: </w:t>
      </w:r>
      <w:r w:rsidR="00494A92">
        <w:rPr>
          <w:rFonts w:ascii="Times New Roman" w:hAnsi="Times New Roman" w:cs="Times New Roman"/>
          <w:b/>
          <w:sz w:val="20"/>
          <w:szCs w:val="20"/>
          <w:lang w:val="en-GB"/>
        </w:rPr>
        <w:t>T</w:t>
      </w:r>
      <w:r w:rsidR="00494A92" w:rsidRPr="00494A92">
        <w:rPr>
          <w:rFonts w:ascii="Times New Roman" w:hAnsi="Times New Roman" w:cs="Times New Roman"/>
          <w:b/>
          <w:sz w:val="20"/>
          <w:szCs w:val="20"/>
          <w:lang w:val="en-GB"/>
        </w:rPr>
        <w:t xml:space="preserve">he uncertainty delay of SSB measurement </w:t>
      </w:r>
      <w:r>
        <w:rPr>
          <w:rFonts w:ascii="Times New Roman" w:hAnsi="Times New Roman" w:cs="Times New Roman"/>
          <w:b/>
          <w:sz w:val="20"/>
          <w:szCs w:val="20"/>
          <w:lang w:val="en-GB"/>
        </w:rPr>
        <w:t>is</w:t>
      </w:r>
      <w:r w:rsidR="00494A92" w:rsidRPr="00494A92">
        <w:rPr>
          <w:rFonts w:ascii="Times New Roman" w:hAnsi="Times New Roman" w:cs="Times New Roman"/>
          <w:b/>
          <w:sz w:val="20"/>
          <w:szCs w:val="20"/>
          <w:lang w:val="en-GB"/>
        </w:rPr>
        <w:t xml:space="preserve"> considered </w:t>
      </w:r>
      <w:r>
        <w:rPr>
          <w:rFonts w:ascii="Times New Roman" w:hAnsi="Times New Roman" w:cs="Times New Roman"/>
          <w:b/>
          <w:sz w:val="20"/>
          <w:szCs w:val="20"/>
          <w:lang w:val="en-GB"/>
        </w:rPr>
        <w:t>on top of</w:t>
      </w:r>
      <w:r w:rsidR="00494A92" w:rsidRPr="00494A92">
        <w:rPr>
          <w:rFonts w:ascii="Times New Roman" w:hAnsi="Times New Roman" w:cs="Times New Roman"/>
          <w:b/>
          <w:sz w:val="20"/>
          <w:szCs w:val="20"/>
          <w:lang w:val="en-GB"/>
        </w:rPr>
        <w:t xml:space="preserve"> existing time gap, which </w:t>
      </w:r>
      <w:r>
        <w:rPr>
          <w:rFonts w:ascii="Times New Roman" w:hAnsi="Times New Roman" w:cs="Times New Roman"/>
          <w:b/>
          <w:sz w:val="20"/>
          <w:szCs w:val="20"/>
          <w:lang w:val="en-GB"/>
        </w:rPr>
        <w:t>is one SSB occasion period</w:t>
      </w:r>
      <w:r w:rsidR="00494A92" w:rsidRPr="00494A92">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F57234">
        <w:rPr>
          <w:rFonts w:ascii="Times New Roman" w:hAnsi="Times New Roman" w:cs="Times New Roman"/>
          <w:sz w:val="20"/>
          <w:szCs w:val="20"/>
        </w:rPr>
        <w:t>general aspects and scenarios for L1/L2 based inter-cell mobility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05495A" w:rsidRPr="002E3F3F" w:rsidRDefault="0005495A" w:rsidP="000549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200837">
        <w:rPr>
          <w:rFonts w:ascii="Times New Roman" w:hAnsi="Times New Roman" w:cs="Times New Roman"/>
          <w:b/>
          <w:sz w:val="20"/>
          <w:szCs w:val="20"/>
          <w:lang w:val="en-GB"/>
        </w:rPr>
        <w:t xml:space="preserve">: </w:t>
      </w:r>
      <w:r w:rsidRPr="00870078">
        <w:rPr>
          <w:rFonts w:ascii="Times New Roman" w:hAnsi="Times New Roman" w:cs="Times New Roman"/>
          <w:b/>
          <w:sz w:val="20"/>
          <w:szCs w:val="20"/>
          <w:lang w:val="en-GB"/>
        </w:rPr>
        <w:t>If ‘</w:t>
      </w:r>
      <w:r w:rsidRPr="00870078">
        <w:rPr>
          <w:rFonts w:ascii="Times New Roman" w:hAnsi="Times New Roman" w:cs="Times New Roman"/>
          <w:b/>
          <w:i/>
          <w:sz w:val="20"/>
          <w:szCs w:val="20"/>
          <w:lang w:val="en-GB"/>
        </w:rPr>
        <w:t>deriveSSB-IndexFromCell</w:t>
      </w:r>
      <w:r w:rsidRPr="00870078">
        <w:rPr>
          <w:rFonts w:ascii="Times New Roman" w:hAnsi="Times New Roman" w:cs="Times New Roman"/>
          <w:b/>
          <w:sz w:val="20"/>
          <w:szCs w:val="20"/>
          <w:lang w:val="en-GB"/>
        </w:rPr>
        <w:t>’ or ‘</w:t>
      </w:r>
      <w:r w:rsidRPr="00870078">
        <w:rPr>
          <w:rFonts w:ascii="Times New Roman" w:hAnsi="Times New Roman" w:cs="Times New Roman"/>
          <w:b/>
          <w:i/>
          <w:sz w:val="20"/>
          <w:szCs w:val="20"/>
          <w:lang w:val="en-GB"/>
        </w:rPr>
        <w:t>deriveSSB-IndexFromCellInter-r17</w:t>
      </w:r>
      <w:r w:rsidRPr="00870078">
        <w:rPr>
          <w:rFonts w:ascii="Times New Roman" w:hAnsi="Times New Roman" w:cs="Times New Roman"/>
          <w:b/>
          <w:sz w:val="20"/>
          <w:szCs w:val="20"/>
          <w:lang w:val="en-GB"/>
        </w:rPr>
        <w:t>’ is enabled,</w:t>
      </w:r>
      <w:r>
        <w:rPr>
          <w:rFonts w:ascii="Times New Roman" w:hAnsi="Times New Roman" w:cs="Times New Roman"/>
          <w:b/>
          <w:sz w:val="20"/>
          <w:szCs w:val="20"/>
          <w:lang w:val="en-GB"/>
        </w:rPr>
        <w:t xml:space="preserve"> SFN level alignment is assumed,</w:t>
      </w:r>
      <w:r w:rsidRPr="00870078">
        <w:rPr>
          <w:rFonts w:ascii="Times New Roman" w:hAnsi="Times New Roman" w:cs="Times New Roman"/>
          <w:b/>
          <w:sz w:val="20"/>
          <w:szCs w:val="20"/>
          <w:lang w:val="en-GB"/>
        </w:rPr>
        <w:t xml:space="preserve"> </w:t>
      </w:r>
      <w:r>
        <w:rPr>
          <w:rFonts w:ascii="Times New Roman" w:hAnsi="Times New Roman" w:cs="Times New Roman"/>
          <w:b/>
          <w:sz w:val="20"/>
          <w:szCs w:val="20"/>
          <w:lang w:val="en-GB"/>
        </w:rPr>
        <w:t>o</w:t>
      </w:r>
      <w:r w:rsidRPr="00870078">
        <w:rPr>
          <w:rFonts w:ascii="Times New Roman" w:hAnsi="Times New Roman" w:cs="Times New Roman"/>
          <w:b/>
          <w:sz w:val="20"/>
          <w:szCs w:val="20"/>
          <w:lang w:val="en-GB"/>
        </w:rPr>
        <w:t>therwise,</w:t>
      </w:r>
      <w:r w:rsidRPr="00870078">
        <w:t xml:space="preserve"> </w:t>
      </w:r>
      <w:r w:rsidRPr="00870078">
        <w:rPr>
          <w:rFonts w:ascii="Times New Roman" w:hAnsi="Times New Roman" w:cs="Times New Roman"/>
          <w:b/>
          <w:sz w:val="20"/>
          <w:szCs w:val="20"/>
          <w:lang w:val="en-GB"/>
        </w:rPr>
        <w:t>UE need</w:t>
      </w:r>
      <w:r>
        <w:rPr>
          <w:rFonts w:ascii="Times New Roman" w:hAnsi="Times New Roman" w:cs="Times New Roman"/>
          <w:b/>
          <w:sz w:val="20"/>
          <w:szCs w:val="20"/>
          <w:lang w:val="en-GB"/>
        </w:rPr>
        <w:t>s</w:t>
      </w:r>
      <w:r w:rsidRPr="00870078">
        <w:rPr>
          <w:rFonts w:ascii="Times New Roman" w:hAnsi="Times New Roman" w:cs="Times New Roman"/>
          <w:b/>
          <w:sz w:val="20"/>
          <w:szCs w:val="20"/>
          <w:lang w:val="en-GB"/>
        </w:rPr>
        <w:t xml:space="preserve"> to acquire target cell SFN by reading MIB</w:t>
      </w:r>
      <w:r>
        <w:rPr>
          <w:rFonts w:ascii="Times New Roman" w:hAnsi="Times New Roman" w:cs="Times New Roman"/>
          <w:b/>
          <w:sz w:val="20"/>
          <w:szCs w:val="20"/>
          <w:lang w:val="en-GB"/>
        </w:rPr>
        <w:t>, and the</w:t>
      </w:r>
      <w:r w:rsidRPr="00870078">
        <w:t xml:space="preserve"> </w:t>
      </w:r>
      <w:r w:rsidRPr="00870078">
        <w:rPr>
          <w:rFonts w:ascii="Times New Roman" w:hAnsi="Times New Roman" w:cs="Times New Roman"/>
          <w:b/>
          <w:sz w:val="20"/>
          <w:szCs w:val="20"/>
          <w:lang w:val="en-GB"/>
        </w:rPr>
        <w:t xml:space="preserve">legacy delay requirement of SFN acquisition defined in </w:t>
      </w:r>
      <w:r w:rsidRPr="00870078">
        <w:rPr>
          <w:rFonts w:ascii="Times New Roman" w:hAnsi="Times New Roman" w:cs="Times New Roman"/>
          <w:b/>
          <w:sz w:val="20"/>
          <w:szCs w:val="20"/>
        </w:rPr>
        <w:t>table 9.10.2.5-3 or Table 9.10.3.5-3 or T</w:t>
      </w:r>
      <w:r w:rsidRPr="00870078">
        <w:rPr>
          <w:rFonts w:ascii="Times New Roman" w:hAnsi="Times New Roman" w:cs="Times New Roman"/>
          <w:b/>
          <w:sz w:val="20"/>
          <w:szCs w:val="20"/>
          <w:vertAlign w:val="subscript"/>
        </w:rPr>
        <w:t>SSB_time_index_inter</w:t>
      </w:r>
      <w:r w:rsidRPr="00870078">
        <w:rPr>
          <w:rFonts w:ascii="Times New Roman" w:hAnsi="Times New Roman" w:cs="Times New Roman"/>
          <w:b/>
          <w:sz w:val="20"/>
          <w:szCs w:val="20"/>
        </w:rPr>
        <w:t xml:space="preserve"> in Clause 9.3.4 applies</w:t>
      </w:r>
      <w:r w:rsidRPr="00870078">
        <w:rPr>
          <w:rFonts w:ascii="Times New Roman" w:hAnsi="Times New Roman" w:cs="Times New Roman"/>
          <w:b/>
          <w:sz w:val="20"/>
          <w:szCs w:val="20"/>
          <w:lang w:val="en-GB"/>
        </w:rPr>
        <w:t>.</w:t>
      </w:r>
    </w:p>
    <w:p w:rsidR="0005495A" w:rsidRDefault="0005495A" w:rsidP="0005495A">
      <w:pPr>
        <w:spacing w:after="240"/>
        <w:rPr>
          <w:rFonts w:ascii="Times New Roman" w:hAnsi="Times New Roman" w:cs="Times New Roman"/>
          <w:sz w:val="20"/>
          <w:szCs w:val="20"/>
          <w:lang w:val="en-GB"/>
        </w:rPr>
      </w:pPr>
      <w:r>
        <w:rPr>
          <w:rFonts w:ascii="Times New Roman" w:hAnsi="Times New Roman" w:cs="Times New Roman"/>
          <w:b/>
          <w:sz w:val="20"/>
          <w:szCs w:val="20"/>
          <w:lang w:val="en-GB"/>
        </w:rPr>
        <w:t>Proposal 2</w:t>
      </w:r>
      <w:r w:rsidRPr="00200837">
        <w:rPr>
          <w:rFonts w:ascii="Times New Roman" w:hAnsi="Times New Roman" w:cs="Times New Roman"/>
          <w:b/>
          <w:sz w:val="20"/>
          <w:szCs w:val="20"/>
          <w:lang w:val="en-GB"/>
        </w:rPr>
        <w:t xml:space="preserve">: </w:t>
      </w:r>
      <w:r w:rsidRPr="00C425CF">
        <w:rPr>
          <w:rFonts w:ascii="Times New Roman" w:hAnsi="Times New Roman" w:cs="Times New Roman"/>
          <w:b/>
          <w:sz w:val="20"/>
          <w:szCs w:val="20"/>
          <w:lang w:val="en-GB"/>
        </w:rPr>
        <w:t xml:space="preserve">After the TCI state of a </w:t>
      </w:r>
      <w:r>
        <w:rPr>
          <w:rFonts w:ascii="Times New Roman" w:hAnsi="Times New Roman" w:cs="Times New Roman"/>
          <w:b/>
          <w:sz w:val="20"/>
          <w:szCs w:val="20"/>
          <w:lang w:val="en-GB"/>
        </w:rPr>
        <w:t>candidate</w:t>
      </w:r>
      <w:r w:rsidRPr="00C425CF">
        <w:rPr>
          <w:rFonts w:ascii="Times New Roman" w:hAnsi="Times New Roman" w:cs="Times New Roman"/>
          <w:b/>
          <w:sz w:val="20"/>
          <w:szCs w:val="20"/>
          <w:lang w:val="en-GB"/>
        </w:rPr>
        <w:t xml:space="preserve"> cell is activated, UE performs SSB based T/F fine tracking on the corresponding beam, and UE will n</w:t>
      </w:r>
      <w:r>
        <w:rPr>
          <w:rFonts w:ascii="Times New Roman" w:hAnsi="Times New Roman" w:cs="Times New Roman"/>
          <w:b/>
          <w:sz w:val="20"/>
          <w:szCs w:val="20"/>
          <w:lang w:val="en-GB"/>
        </w:rPr>
        <w:t>ot active the corresponding BWP of the candidate cell</w:t>
      </w:r>
      <w:r w:rsidRPr="00870078">
        <w:rPr>
          <w:rFonts w:ascii="Times New Roman" w:hAnsi="Times New Roman" w:cs="Times New Roman"/>
          <w:b/>
          <w:sz w:val="20"/>
          <w:szCs w:val="20"/>
          <w:lang w:val="en-GB"/>
        </w:rPr>
        <w:t>.</w:t>
      </w:r>
    </w:p>
    <w:p w:rsidR="0005495A" w:rsidRDefault="0005495A" w:rsidP="000549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0837">
        <w:rPr>
          <w:rFonts w:ascii="Times New Roman" w:hAnsi="Times New Roman" w:cs="Times New Roman"/>
          <w:b/>
          <w:sz w:val="20"/>
          <w:szCs w:val="20"/>
          <w:lang w:val="en-GB"/>
        </w:rPr>
        <w:t xml:space="preserve">: </w:t>
      </w:r>
      <w:r w:rsidRPr="000324CA">
        <w:rPr>
          <w:rFonts w:ascii="Times New Roman" w:hAnsi="Times New Roman" w:cs="Times New Roman"/>
          <w:b/>
          <w:sz w:val="20"/>
          <w:szCs w:val="20"/>
          <w:lang w:val="en-GB"/>
        </w:rPr>
        <w:t xml:space="preserve">RAN4 </w:t>
      </w:r>
      <w:r>
        <w:rPr>
          <w:rFonts w:ascii="Times New Roman" w:hAnsi="Times New Roman" w:cs="Times New Roman"/>
          <w:b/>
          <w:sz w:val="20"/>
          <w:szCs w:val="20"/>
          <w:lang w:val="en-GB"/>
        </w:rPr>
        <w:t>to</w:t>
      </w:r>
      <w:r w:rsidRPr="000324CA">
        <w:rPr>
          <w:rFonts w:ascii="Times New Roman" w:hAnsi="Times New Roman" w:cs="Times New Roman"/>
          <w:b/>
          <w:sz w:val="20"/>
          <w:szCs w:val="20"/>
          <w:lang w:val="en-GB"/>
        </w:rPr>
        <w:t xml:space="preserve"> define a new UE capability </w:t>
      </w:r>
      <w:r>
        <w:rPr>
          <w:rFonts w:ascii="Times New Roman" w:hAnsi="Times New Roman" w:cs="Times New Roman"/>
          <w:b/>
          <w:sz w:val="20"/>
          <w:szCs w:val="20"/>
          <w:lang w:val="en-GB"/>
        </w:rPr>
        <w:t xml:space="preserve">to support </w:t>
      </w:r>
      <w:r w:rsidRPr="000324CA">
        <w:rPr>
          <w:rFonts w:ascii="Times New Roman" w:hAnsi="Times New Roman" w:cs="Times New Roman"/>
          <w:b/>
          <w:sz w:val="20"/>
          <w:szCs w:val="20"/>
          <w:lang w:val="en-GB"/>
        </w:rPr>
        <w:t xml:space="preserve">T/F fine </w:t>
      </w:r>
      <w:r>
        <w:rPr>
          <w:rFonts w:ascii="Times New Roman" w:hAnsi="Times New Roman" w:cs="Times New Roman"/>
          <w:b/>
          <w:sz w:val="20"/>
          <w:szCs w:val="20"/>
          <w:lang w:val="en-GB"/>
        </w:rPr>
        <w:t>tracking on multiple candidate cells</w:t>
      </w:r>
      <w:r w:rsidRPr="00870078">
        <w:rPr>
          <w:rFonts w:ascii="Times New Roman" w:hAnsi="Times New Roman" w:cs="Times New Roman"/>
          <w:b/>
          <w:sz w:val="20"/>
          <w:szCs w:val="20"/>
          <w:lang w:val="en-GB"/>
        </w:rPr>
        <w:t>.</w:t>
      </w:r>
    </w:p>
    <w:p w:rsidR="0005495A" w:rsidRPr="008B01A1" w:rsidRDefault="0005495A" w:rsidP="000549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Proposal 4</w:t>
      </w:r>
      <w:r w:rsidRPr="00200837">
        <w:rPr>
          <w:rFonts w:ascii="Times New Roman" w:hAnsi="Times New Roman" w:cs="Times New Roman"/>
          <w:b/>
          <w:sz w:val="20"/>
          <w:szCs w:val="20"/>
          <w:lang w:val="en-GB"/>
        </w:rPr>
        <w:t xml:space="preserve">: </w:t>
      </w:r>
      <w:r w:rsidRPr="000324CA">
        <w:rPr>
          <w:rFonts w:ascii="Times New Roman" w:hAnsi="Times New Roman" w:cs="Times New Roman"/>
          <w:b/>
          <w:sz w:val="20"/>
          <w:szCs w:val="20"/>
          <w:lang w:val="en-GB"/>
        </w:rPr>
        <w:t xml:space="preserve">RAN4 </w:t>
      </w:r>
      <w:r>
        <w:rPr>
          <w:rFonts w:ascii="Times New Roman" w:hAnsi="Times New Roman" w:cs="Times New Roman"/>
          <w:b/>
          <w:sz w:val="20"/>
          <w:szCs w:val="20"/>
          <w:lang w:val="en-GB"/>
        </w:rPr>
        <w:t>to</w:t>
      </w:r>
      <w:r w:rsidRPr="000324CA">
        <w:rPr>
          <w:rFonts w:ascii="Times New Roman" w:hAnsi="Times New Roman" w:cs="Times New Roman"/>
          <w:b/>
          <w:sz w:val="20"/>
          <w:szCs w:val="20"/>
          <w:lang w:val="en-GB"/>
        </w:rPr>
        <w:t xml:space="preserve"> </w:t>
      </w:r>
      <w:r>
        <w:rPr>
          <w:rFonts w:ascii="Times New Roman" w:hAnsi="Times New Roman" w:cs="Times New Roman"/>
          <w:b/>
          <w:sz w:val="20"/>
          <w:szCs w:val="20"/>
          <w:lang w:val="en-GB"/>
        </w:rPr>
        <w:t>discuss</w:t>
      </w:r>
      <w:r w:rsidRPr="000324CA">
        <w:rPr>
          <w:rFonts w:ascii="Times New Roman" w:hAnsi="Times New Roman" w:cs="Times New Roman"/>
          <w:b/>
          <w:sz w:val="20"/>
          <w:szCs w:val="20"/>
          <w:lang w:val="en-GB"/>
        </w:rPr>
        <w:t xml:space="preserve"> the delay requirement </w:t>
      </w:r>
      <w:r>
        <w:rPr>
          <w:rFonts w:ascii="Times New Roman" w:hAnsi="Times New Roman" w:cs="Times New Roman"/>
          <w:b/>
          <w:sz w:val="20"/>
          <w:szCs w:val="20"/>
          <w:lang w:val="en-GB"/>
        </w:rPr>
        <w:t xml:space="preserve">of </w:t>
      </w:r>
      <w:r w:rsidRPr="000324CA">
        <w:rPr>
          <w:rFonts w:ascii="Times New Roman" w:hAnsi="Times New Roman" w:cs="Times New Roman"/>
          <w:b/>
          <w:sz w:val="20"/>
          <w:szCs w:val="20"/>
          <w:lang w:val="en-GB"/>
        </w:rPr>
        <w:t>TCI state activation for multiple candidate cells</w:t>
      </w:r>
      <w:r w:rsidRPr="00870078">
        <w:rPr>
          <w:rFonts w:ascii="Times New Roman" w:hAnsi="Times New Roman" w:cs="Times New Roman"/>
          <w:b/>
          <w:sz w:val="20"/>
          <w:szCs w:val="20"/>
          <w:lang w:val="en-GB"/>
        </w:rPr>
        <w:t>.</w:t>
      </w:r>
    </w:p>
    <w:p w:rsidR="0005495A" w:rsidRDefault="0005495A" w:rsidP="0005495A">
      <w:pPr>
        <w:spacing w:after="240"/>
        <w:rPr>
          <w:rFonts w:ascii="Times New Roman" w:hAnsi="Times New Roman" w:cs="Times New Roman"/>
          <w:b/>
          <w:sz w:val="20"/>
          <w:szCs w:val="20"/>
          <w:lang w:val="en-GB"/>
        </w:rPr>
      </w:pPr>
      <w:r w:rsidRPr="0005495A">
        <w:rPr>
          <w:rFonts w:ascii="Times New Roman" w:hAnsi="Times New Roman" w:cs="Times New Roman"/>
          <w:b/>
          <w:sz w:val="20"/>
          <w:szCs w:val="20"/>
          <w:lang w:val="en-GB"/>
        </w:rPr>
        <w:t>Proposal 5: For the time gap between a PDCCH order and the corresponding PRACH transmission on neighbour cell(s), the component of BWP switching delay is removed, instead, additional time component for RF tuning and BB preparation is considered.</w:t>
      </w:r>
    </w:p>
    <w:p w:rsidR="0005495A" w:rsidRPr="0005495A" w:rsidRDefault="0005495A" w:rsidP="000549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494A92">
        <w:rPr>
          <w:rFonts w:ascii="Times New Roman" w:hAnsi="Times New Roman" w:cs="Times New Roman"/>
          <w:b/>
          <w:sz w:val="20"/>
          <w:szCs w:val="20"/>
          <w:lang w:val="en-GB"/>
        </w:rPr>
        <w:t xml:space="preserve">he uncertainty delay of SSB measurement </w:t>
      </w:r>
      <w:r>
        <w:rPr>
          <w:rFonts w:ascii="Times New Roman" w:hAnsi="Times New Roman" w:cs="Times New Roman"/>
          <w:b/>
          <w:sz w:val="20"/>
          <w:szCs w:val="20"/>
          <w:lang w:val="en-GB"/>
        </w:rPr>
        <w:t>is</w:t>
      </w:r>
      <w:r w:rsidRPr="00494A92">
        <w:rPr>
          <w:rFonts w:ascii="Times New Roman" w:hAnsi="Times New Roman" w:cs="Times New Roman"/>
          <w:b/>
          <w:sz w:val="20"/>
          <w:szCs w:val="20"/>
          <w:lang w:val="en-GB"/>
        </w:rPr>
        <w:t xml:space="preserve"> considered </w:t>
      </w:r>
      <w:r>
        <w:rPr>
          <w:rFonts w:ascii="Times New Roman" w:hAnsi="Times New Roman" w:cs="Times New Roman"/>
          <w:b/>
          <w:sz w:val="20"/>
          <w:szCs w:val="20"/>
          <w:lang w:val="en-GB"/>
        </w:rPr>
        <w:t>on top of</w:t>
      </w:r>
      <w:r w:rsidRPr="00494A92">
        <w:rPr>
          <w:rFonts w:ascii="Times New Roman" w:hAnsi="Times New Roman" w:cs="Times New Roman"/>
          <w:b/>
          <w:sz w:val="20"/>
          <w:szCs w:val="20"/>
          <w:lang w:val="en-GB"/>
        </w:rPr>
        <w:t xml:space="preserve"> existing time gap, which </w:t>
      </w:r>
      <w:r>
        <w:rPr>
          <w:rFonts w:ascii="Times New Roman" w:hAnsi="Times New Roman" w:cs="Times New Roman"/>
          <w:b/>
          <w:sz w:val="20"/>
          <w:szCs w:val="20"/>
          <w:lang w:val="en-GB"/>
        </w:rPr>
        <w:t>is one SSB occasion period</w:t>
      </w:r>
      <w:r w:rsidRPr="00494A92">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w:t>
      </w:r>
      <w:r w:rsidR="00A616A0">
        <w:rPr>
          <w:rFonts w:ascii="Times New Roman" w:hAnsi="Times New Roman" w:cs="Times New Roman"/>
          <w:sz w:val="20"/>
          <w:szCs w:val="20"/>
        </w:rPr>
        <w:t>3</w:t>
      </w:r>
      <w:r w:rsidR="00BB0809">
        <w:rPr>
          <w:rFonts w:ascii="Times New Roman" w:hAnsi="Times New Roman" w:cs="Times New Roman"/>
          <w:sz w:val="20"/>
          <w:szCs w:val="20"/>
        </w:rPr>
        <w:t>10160</w:t>
      </w:r>
      <w:r>
        <w:rPr>
          <w:rFonts w:ascii="Times New Roman" w:hAnsi="Times New Roman" w:cs="Times New Roman"/>
          <w:sz w:val="20"/>
          <w:szCs w:val="20"/>
        </w:rPr>
        <w:tab/>
      </w:r>
      <w:r w:rsidR="00BB0809" w:rsidRPr="00BB0809">
        <w:rPr>
          <w:rFonts w:ascii="Times New Roman" w:hAnsi="Times New Roman" w:cs="Times New Roman"/>
          <w:sz w:val="20"/>
          <w:szCs w:val="20"/>
        </w:rPr>
        <w:t>WF on NR mobility enhancements (part 1)</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F82516" w:rsidRDefault="005B02B3" w:rsidP="005B02B3">
      <w:pPr>
        <w:ind w:left="420" w:rightChars="-297" w:right="-624"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Pr="005B02B3">
        <w:rPr>
          <w:rFonts w:ascii="Times New Roman" w:hAnsi="Times New Roman" w:cs="Times New Roman"/>
          <w:sz w:val="20"/>
          <w:szCs w:val="20"/>
        </w:rPr>
        <w:t>R1-2304276</w:t>
      </w:r>
      <w:r>
        <w:rPr>
          <w:rFonts w:ascii="Times New Roman" w:hAnsi="Times New Roman" w:cs="Times New Roman"/>
          <w:sz w:val="20"/>
          <w:szCs w:val="20"/>
        </w:rPr>
        <w:tab/>
      </w:r>
      <w:r w:rsidRPr="005B02B3">
        <w:rPr>
          <w:rFonts w:ascii="Times New Roman" w:hAnsi="Times New Roman" w:cs="Times New Roman"/>
          <w:sz w:val="20"/>
          <w:szCs w:val="20"/>
        </w:rPr>
        <w:t>LS on beam indication of target cell(s) and time gap between a PDCCH order and the corresponding PRACH transmission for LTM</w:t>
      </w:r>
      <w:r>
        <w:rPr>
          <w:rFonts w:ascii="Times New Roman" w:hAnsi="Times New Roman" w:cs="Times New Roman"/>
          <w:sz w:val="20"/>
          <w:szCs w:val="20"/>
        </w:rPr>
        <w:t>, RAN1</w:t>
      </w:r>
    </w:p>
    <w:p w:rsidR="005B02B3" w:rsidRPr="002B3D5A" w:rsidRDefault="005B02B3" w:rsidP="005B02B3">
      <w:pPr>
        <w:ind w:left="420" w:rightChars="-297" w:right="-624" w:hanging="420"/>
        <w:rPr>
          <w:rFonts w:ascii="Times New Roman" w:hAnsi="Times New Roman" w:cs="Times New Roman"/>
          <w:sz w:val="20"/>
          <w:szCs w:val="20"/>
        </w:rPr>
      </w:pPr>
    </w:p>
    <w:sectPr w:rsidR="005B02B3"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FA8" w:rsidRDefault="005A4FA8" w:rsidP="0054389C">
      <w:r>
        <w:separator/>
      </w:r>
    </w:p>
  </w:endnote>
  <w:endnote w:type="continuationSeparator" w:id="0">
    <w:p w:rsidR="005A4FA8" w:rsidRDefault="005A4FA8"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FA8" w:rsidRDefault="005A4FA8" w:rsidP="0054389C">
      <w:r>
        <w:separator/>
      </w:r>
    </w:p>
  </w:footnote>
  <w:footnote w:type="continuationSeparator" w:id="0">
    <w:p w:rsidR="005A4FA8" w:rsidRDefault="005A4FA8"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5F36590"/>
    <w:multiLevelType w:val="hybridMultilevel"/>
    <w:tmpl w:val="3CB6907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4B1862"/>
    <w:multiLevelType w:val="hybridMultilevel"/>
    <w:tmpl w:val="58EA7A18"/>
    <w:lvl w:ilvl="0" w:tplc="5E7C35B8">
      <w:start w:val="2"/>
      <w:numFmt w:val="upp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4E2B6E"/>
    <w:multiLevelType w:val="hybridMultilevel"/>
    <w:tmpl w:val="A876675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2A13E7"/>
    <w:multiLevelType w:val="hybridMultilevel"/>
    <w:tmpl w:val="6066872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0655190"/>
    <w:multiLevelType w:val="hybridMultilevel"/>
    <w:tmpl w:val="7D2205B6"/>
    <w:lvl w:ilvl="0" w:tplc="8C980E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13"/>
  </w:num>
  <w:num w:numId="4">
    <w:abstractNumId w:val="14"/>
  </w:num>
  <w:num w:numId="5">
    <w:abstractNumId w:val="19"/>
  </w:num>
  <w:num w:numId="6">
    <w:abstractNumId w:val="0"/>
  </w:num>
  <w:num w:numId="7">
    <w:abstractNumId w:val="3"/>
  </w:num>
  <w:num w:numId="8">
    <w:abstractNumId w:val="16"/>
  </w:num>
  <w:num w:numId="9">
    <w:abstractNumId w:val="11"/>
  </w:num>
  <w:num w:numId="10">
    <w:abstractNumId w:val="6"/>
  </w:num>
  <w:num w:numId="11">
    <w:abstractNumId w:val="12"/>
  </w:num>
  <w:num w:numId="12">
    <w:abstractNumId w:val="10"/>
  </w:num>
  <w:num w:numId="13">
    <w:abstractNumId w:val="24"/>
  </w:num>
  <w:num w:numId="14">
    <w:abstractNumId w:val="15"/>
  </w:num>
  <w:num w:numId="15">
    <w:abstractNumId w:val="1"/>
  </w:num>
  <w:num w:numId="16">
    <w:abstractNumId w:val="20"/>
  </w:num>
  <w:num w:numId="17">
    <w:abstractNumId w:val="5"/>
  </w:num>
  <w:num w:numId="18">
    <w:abstractNumId w:val="8"/>
  </w:num>
  <w:num w:numId="19">
    <w:abstractNumId w:val="7"/>
  </w:num>
  <w:num w:numId="20">
    <w:abstractNumId w:val="23"/>
  </w:num>
  <w:num w:numId="21">
    <w:abstractNumId w:val="18"/>
  </w:num>
  <w:num w:numId="22">
    <w:abstractNumId w:val="9"/>
  </w:num>
  <w:num w:numId="23">
    <w:abstractNumId w:val="4"/>
  </w:num>
  <w:num w:numId="24">
    <w:abstractNumId w:val="21"/>
  </w:num>
  <w:num w:numId="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07382"/>
    <w:rsid w:val="00011E01"/>
    <w:rsid w:val="000158D0"/>
    <w:rsid w:val="00015C3C"/>
    <w:rsid w:val="00016088"/>
    <w:rsid w:val="00016112"/>
    <w:rsid w:val="00016727"/>
    <w:rsid w:val="00024DE8"/>
    <w:rsid w:val="0002546B"/>
    <w:rsid w:val="000324CA"/>
    <w:rsid w:val="00034A97"/>
    <w:rsid w:val="0003613E"/>
    <w:rsid w:val="00043F9E"/>
    <w:rsid w:val="00051EAB"/>
    <w:rsid w:val="0005495A"/>
    <w:rsid w:val="00057AE1"/>
    <w:rsid w:val="00070463"/>
    <w:rsid w:val="000716C6"/>
    <w:rsid w:val="00072D64"/>
    <w:rsid w:val="00076628"/>
    <w:rsid w:val="00077AB2"/>
    <w:rsid w:val="000823B4"/>
    <w:rsid w:val="00085B4A"/>
    <w:rsid w:val="0008649C"/>
    <w:rsid w:val="000A3D16"/>
    <w:rsid w:val="000A7203"/>
    <w:rsid w:val="000B3B28"/>
    <w:rsid w:val="000C2CBD"/>
    <w:rsid w:val="000C770E"/>
    <w:rsid w:val="000D163E"/>
    <w:rsid w:val="000D645A"/>
    <w:rsid w:val="000D6479"/>
    <w:rsid w:val="000F428C"/>
    <w:rsid w:val="000F6FE6"/>
    <w:rsid w:val="001011CC"/>
    <w:rsid w:val="00101ACC"/>
    <w:rsid w:val="00102142"/>
    <w:rsid w:val="0011076E"/>
    <w:rsid w:val="0011186C"/>
    <w:rsid w:val="0012385A"/>
    <w:rsid w:val="001260EF"/>
    <w:rsid w:val="00127301"/>
    <w:rsid w:val="00130412"/>
    <w:rsid w:val="00137E62"/>
    <w:rsid w:val="00141635"/>
    <w:rsid w:val="001452D7"/>
    <w:rsid w:val="00146468"/>
    <w:rsid w:val="001478E9"/>
    <w:rsid w:val="00150BF0"/>
    <w:rsid w:val="001512ED"/>
    <w:rsid w:val="0015540D"/>
    <w:rsid w:val="0016362E"/>
    <w:rsid w:val="001644B9"/>
    <w:rsid w:val="0016695D"/>
    <w:rsid w:val="00167860"/>
    <w:rsid w:val="0017239B"/>
    <w:rsid w:val="001754BF"/>
    <w:rsid w:val="0017577F"/>
    <w:rsid w:val="0017748B"/>
    <w:rsid w:val="001779A3"/>
    <w:rsid w:val="001800C7"/>
    <w:rsid w:val="00180A67"/>
    <w:rsid w:val="00182726"/>
    <w:rsid w:val="0018503A"/>
    <w:rsid w:val="00187ADE"/>
    <w:rsid w:val="001926E4"/>
    <w:rsid w:val="001950FB"/>
    <w:rsid w:val="00195347"/>
    <w:rsid w:val="001A0C83"/>
    <w:rsid w:val="001A1790"/>
    <w:rsid w:val="001A643C"/>
    <w:rsid w:val="001B08F6"/>
    <w:rsid w:val="001B142A"/>
    <w:rsid w:val="001B6E2C"/>
    <w:rsid w:val="001B756E"/>
    <w:rsid w:val="001C2469"/>
    <w:rsid w:val="001C503D"/>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0837"/>
    <w:rsid w:val="00203D4A"/>
    <w:rsid w:val="00205754"/>
    <w:rsid w:val="00206C54"/>
    <w:rsid w:val="00207CF1"/>
    <w:rsid w:val="002127C7"/>
    <w:rsid w:val="00217FA3"/>
    <w:rsid w:val="00223C0A"/>
    <w:rsid w:val="00225425"/>
    <w:rsid w:val="00227064"/>
    <w:rsid w:val="002316C3"/>
    <w:rsid w:val="00235DBD"/>
    <w:rsid w:val="00240BB8"/>
    <w:rsid w:val="00242096"/>
    <w:rsid w:val="00246ADE"/>
    <w:rsid w:val="00253664"/>
    <w:rsid w:val="00255740"/>
    <w:rsid w:val="00256027"/>
    <w:rsid w:val="00261A53"/>
    <w:rsid w:val="00261A6D"/>
    <w:rsid w:val="002633C6"/>
    <w:rsid w:val="00265CD5"/>
    <w:rsid w:val="0026773E"/>
    <w:rsid w:val="00273D7D"/>
    <w:rsid w:val="00277750"/>
    <w:rsid w:val="00280D74"/>
    <w:rsid w:val="00281A5A"/>
    <w:rsid w:val="00287457"/>
    <w:rsid w:val="00292214"/>
    <w:rsid w:val="00294705"/>
    <w:rsid w:val="002A0259"/>
    <w:rsid w:val="002B3D5A"/>
    <w:rsid w:val="002B6210"/>
    <w:rsid w:val="002B652F"/>
    <w:rsid w:val="002C1E5B"/>
    <w:rsid w:val="002C4CB6"/>
    <w:rsid w:val="002D018A"/>
    <w:rsid w:val="002E3574"/>
    <w:rsid w:val="002E3F3F"/>
    <w:rsid w:val="002E64BA"/>
    <w:rsid w:val="002F43C6"/>
    <w:rsid w:val="002F6F34"/>
    <w:rsid w:val="003009F3"/>
    <w:rsid w:val="00302559"/>
    <w:rsid w:val="00305381"/>
    <w:rsid w:val="0031381D"/>
    <w:rsid w:val="003178A8"/>
    <w:rsid w:val="00324A56"/>
    <w:rsid w:val="00324CCC"/>
    <w:rsid w:val="0032715E"/>
    <w:rsid w:val="00330185"/>
    <w:rsid w:val="003329CE"/>
    <w:rsid w:val="00334BFE"/>
    <w:rsid w:val="00342670"/>
    <w:rsid w:val="003448C1"/>
    <w:rsid w:val="00347843"/>
    <w:rsid w:val="00352437"/>
    <w:rsid w:val="0035479D"/>
    <w:rsid w:val="00363A14"/>
    <w:rsid w:val="003700E4"/>
    <w:rsid w:val="003702DA"/>
    <w:rsid w:val="003738E4"/>
    <w:rsid w:val="00376331"/>
    <w:rsid w:val="00385668"/>
    <w:rsid w:val="0038659C"/>
    <w:rsid w:val="00395926"/>
    <w:rsid w:val="003A4170"/>
    <w:rsid w:val="003A4595"/>
    <w:rsid w:val="003A4A9D"/>
    <w:rsid w:val="003B4EEA"/>
    <w:rsid w:val="003B6133"/>
    <w:rsid w:val="003B78F5"/>
    <w:rsid w:val="003D3A49"/>
    <w:rsid w:val="003D749A"/>
    <w:rsid w:val="003E1EB2"/>
    <w:rsid w:val="003E6CF6"/>
    <w:rsid w:val="003F6FCE"/>
    <w:rsid w:val="00402EF3"/>
    <w:rsid w:val="0041525E"/>
    <w:rsid w:val="00416279"/>
    <w:rsid w:val="004230BF"/>
    <w:rsid w:val="00426BD0"/>
    <w:rsid w:val="00431676"/>
    <w:rsid w:val="00432A04"/>
    <w:rsid w:val="00437FBE"/>
    <w:rsid w:val="00460AAF"/>
    <w:rsid w:val="00467C66"/>
    <w:rsid w:val="004718D4"/>
    <w:rsid w:val="00471AA1"/>
    <w:rsid w:val="00480320"/>
    <w:rsid w:val="00480411"/>
    <w:rsid w:val="00485068"/>
    <w:rsid w:val="0048645C"/>
    <w:rsid w:val="0049439B"/>
    <w:rsid w:val="00494A92"/>
    <w:rsid w:val="004A2AFD"/>
    <w:rsid w:val="004A351E"/>
    <w:rsid w:val="004A3F2B"/>
    <w:rsid w:val="004A4278"/>
    <w:rsid w:val="004B6A8C"/>
    <w:rsid w:val="004C222C"/>
    <w:rsid w:val="004C51E5"/>
    <w:rsid w:val="004D00B7"/>
    <w:rsid w:val="004D26E8"/>
    <w:rsid w:val="004D3E5E"/>
    <w:rsid w:val="004D4C80"/>
    <w:rsid w:val="004D6569"/>
    <w:rsid w:val="004D67EE"/>
    <w:rsid w:val="004E1970"/>
    <w:rsid w:val="004E2808"/>
    <w:rsid w:val="004E2E67"/>
    <w:rsid w:val="004E306E"/>
    <w:rsid w:val="004F4A70"/>
    <w:rsid w:val="0050330D"/>
    <w:rsid w:val="00505332"/>
    <w:rsid w:val="00507AA9"/>
    <w:rsid w:val="0051229C"/>
    <w:rsid w:val="00516C00"/>
    <w:rsid w:val="005218FD"/>
    <w:rsid w:val="00522680"/>
    <w:rsid w:val="0052273B"/>
    <w:rsid w:val="005248BF"/>
    <w:rsid w:val="005319A1"/>
    <w:rsid w:val="00543855"/>
    <w:rsid w:val="0054389C"/>
    <w:rsid w:val="0054431A"/>
    <w:rsid w:val="00545812"/>
    <w:rsid w:val="0056020E"/>
    <w:rsid w:val="00562DFE"/>
    <w:rsid w:val="00563C8B"/>
    <w:rsid w:val="00566B7A"/>
    <w:rsid w:val="00570005"/>
    <w:rsid w:val="005709CD"/>
    <w:rsid w:val="0057452F"/>
    <w:rsid w:val="0059161C"/>
    <w:rsid w:val="005A4FA8"/>
    <w:rsid w:val="005A7A53"/>
    <w:rsid w:val="005A7E7C"/>
    <w:rsid w:val="005B02B3"/>
    <w:rsid w:val="005B210E"/>
    <w:rsid w:val="005B3738"/>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30FF"/>
    <w:rsid w:val="006367AB"/>
    <w:rsid w:val="006368BE"/>
    <w:rsid w:val="006408D7"/>
    <w:rsid w:val="0064419F"/>
    <w:rsid w:val="006530C5"/>
    <w:rsid w:val="006602E7"/>
    <w:rsid w:val="00661CA0"/>
    <w:rsid w:val="0066419E"/>
    <w:rsid w:val="006768EF"/>
    <w:rsid w:val="006777B5"/>
    <w:rsid w:val="006803DB"/>
    <w:rsid w:val="00680FF7"/>
    <w:rsid w:val="006830CE"/>
    <w:rsid w:val="00685EFE"/>
    <w:rsid w:val="00687E6B"/>
    <w:rsid w:val="00695FD9"/>
    <w:rsid w:val="006A69F0"/>
    <w:rsid w:val="006B73D4"/>
    <w:rsid w:val="006C49CF"/>
    <w:rsid w:val="006D0D08"/>
    <w:rsid w:val="006D677D"/>
    <w:rsid w:val="006D7986"/>
    <w:rsid w:val="006E04B2"/>
    <w:rsid w:val="006E3CA9"/>
    <w:rsid w:val="007000C2"/>
    <w:rsid w:val="007035A3"/>
    <w:rsid w:val="007039C2"/>
    <w:rsid w:val="00704E0D"/>
    <w:rsid w:val="0070658E"/>
    <w:rsid w:val="007070F1"/>
    <w:rsid w:val="0071610B"/>
    <w:rsid w:val="0071779F"/>
    <w:rsid w:val="007177E8"/>
    <w:rsid w:val="007213C7"/>
    <w:rsid w:val="00722233"/>
    <w:rsid w:val="00725498"/>
    <w:rsid w:val="00731CC2"/>
    <w:rsid w:val="00745132"/>
    <w:rsid w:val="007463FE"/>
    <w:rsid w:val="00752A0E"/>
    <w:rsid w:val="0075409F"/>
    <w:rsid w:val="00757DBE"/>
    <w:rsid w:val="007626A1"/>
    <w:rsid w:val="00762B01"/>
    <w:rsid w:val="007710CB"/>
    <w:rsid w:val="00774CC0"/>
    <w:rsid w:val="00775CBB"/>
    <w:rsid w:val="0078040D"/>
    <w:rsid w:val="00780FFB"/>
    <w:rsid w:val="0078135A"/>
    <w:rsid w:val="007838EE"/>
    <w:rsid w:val="007926DC"/>
    <w:rsid w:val="00792951"/>
    <w:rsid w:val="007951A5"/>
    <w:rsid w:val="007962F9"/>
    <w:rsid w:val="007978E0"/>
    <w:rsid w:val="007A6A3C"/>
    <w:rsid w:val="007B37C0"/>
    <w:rsid w:val="007D1DDB"/>
    <w:rsid w:val="007E0B08"/>
    <w:rsid w:val="007E1AB5"/>
    <w:rsid w:val="007F5703"/>
    <w:rsid w:val="0080081A"/>
    <w:rsid w:val="00800EA2"/>
    <w:rsid w:val="0080162C"/>
    <w:rsid w:val="00803D9E"/>
    <w:rsid w:val="00806B88"/>
    <w:rsid w:val="008104F7"/>
    <w:rsid w:val="0081726D"/>
    <w:rsid w:val="0082167B"/>
    <w:rsid w:val="0082337A"/>
    <w:rsid w:val="00824894"/>
    <w:rsid w:val="00836272"/>
    <w:rsid w:val="00841157"/>
    <w:rsid w:val="00841D35"/>
    <w:rsid w:val="00842FA7"/>
    <w:rsid w:val="00846482"/>
    <w:rsid w:val="00846CC4"/>
    <w:rsid w:val="008630DE"/>
    <w:rsid w:val="00864C17"/>
    <w:rsid w:val="00867779"/>
    <w:rsid w:val="00870078"/>
    <w:rsid w:val="00873E40"/>
    <w:rsid w:val="008753BF"/>
    <w:rsid w:val="00881233"/>
    <w:rsid w:val="0088218C"/>
    <w:rsid w:val="008827F1"/>
    <w:rsid w:val="00883B49"/>
    <w:rsid w:val="00890792"/>
    <w:rsid w:val="00893262"/>
    <w:rsid w:val="008960A9"/>
    <w:rsid w:val="00896E69"/>
    <w:rsid w:val="008A2709"/>
    <w:rsid w:val="008A50A9"/>
    <w:rsid w:val="008A6635"/>
    <w:rsid w:val="008A7CA1"/>
    <w:rsid w:val="008B01A1"/>
    <w:rsid w:val="008B5966"/>
    <w:rsid w:val="008B68C3"/>
    <w:rsid w:val="008B704C"/>
    <w:rsid w:val="008C3B63"/>
    <w:rsid w:val="008D005F"/>
    <w:rsid w:val="008D26B8"/>
    <w:rsid w:val="008D6E7B"/>
    <w:rsid w:val="008D7652"/>
    <w:rsid w:val="008E566B"/>
    <w:rsid w:val="008F07AF"/>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5408F"/>
    <w:rsid w:val="00963620"/>
    <w:rsid w:val="00964B17"/>
    <w:rsid w:val="009650A8"/>
    <w:rsid w:val="009847E0"/>
    <w:rsid w:val="009852F7"/>
    <w:rsid w:val="00997C51"/>
    <w:rsid w:val="009A39AF"/>
    <w:rsid w:val="009A5201"/>
    <w:rsid w:val="009A7035"/>
    <w:rsid w:val="009B205D"/>
    <w:rsid w:val="009C4366"/>
    <w:rsid w:val="009C43ED"/>
    <w:rsid w:val="009D3A4A"/>
    <w:rsid w:val="009E04F6"/>
    <w:rsid w:val="009E4215"/>
    <w:rsid w:val="009E43EE"/>
    <w:rsid w:val="009E5CF4"/>
    <w:rsid w:val="009F680C"/>
    <w:rsid w:val="00A11EC7"/>
    <w:rsid w:val="00A1589E"/>
    <w:rsid w:val="00A16533"/>
    <w:rsid w:val="00A16F00"/>
    <w:rsid w:val="00A16F35"/>
    <w:rsid w:val="00A178CE"/>
    <w:rsid w:val="00A2027E"/>
    <w:rsid w:val="00A22589"/>
    <w:rsid w:val="00A22990"/>
    <w:rsid w:val="00A25F2E"/>
    <w:rsid w:val="00A2749C"/>
    <w:rsid w:val="00A276D7"/>
    <w:rsid w:val="00A27CC1"/>
    <w:rsid w:val="00A3188C"/>
    <w:rsid w:val="00A3385B"/>
    <w:rsid w:val="00A33A69"/>
    <w:rsid w:val="00A3606C"/>
    <w:rsid w:val="00A44F96"/>
    <w:rsid w:val="00A56AA6"/>
    <w:rsid w:val="00A616A0"/>
    <w:rsid w:val="00A63B54"/>
    <w:rsid w:val="00A72117"/>
    <w:rsid w:val="00A7419E"/>
    <w:rsid w:val="00A80D5B"/>
    <w:rsid w:val="00A8537B"/>
    <w:rsid w:val="00A855D3"/>
    <w:rsid w:val="00A91277"/>
    <w:rsid w:val="00A91AED"/>
    <w:rsid w:val="00A929F4"/>
    <w:rsid w:val="00A968A5"/>
    <w:rsid w:val="00AA4AB5"/>
    <w:rsid w:val="00AB52AA"/>
    <w:rsid w:val="00AC175E"/>
    <w:rsid w:val="00AC18ED"/>
    <w:rsid w:val="00AC19BA"/>
    <w:rsid w:val="00AC68BC"/>
    <w:rsid w:val="00AF3D27"/>
    <w:rsid w:val="00AF4D8A"/>
    <w:rsid w:val="00AF5BDC"/>
    <w:rsid w:val="00AF6FB1"/>
    <w:rsid w:val="00B004A5"/>
    <w:rsid w:val="00B014D3"/>
    <w:rsid w:val="00B03C1E"/>
    <w:rsid w:val="00B148C0"/>
    <w:rsid w:val="00B14EE0"/>
    <w:rsid w:val="00B22A04"/>
    <w:rsid w:val="00B22C85"/>
    <w:rsid w:val="00B236AD"/>
    <w:rsid w:val="00B24E9C"/>
    <w:rsid w:val="00B25431"/>
    <w:rsid w:val="00B27573"/>
    <w:rsid w:val="00B4430F"/>
    <w:rsid w:val="00B45648"/>
    <w:rsid w:val="00B4742F"/>
    <w:rsid w:val="00B52EFA"/>
    <w:rsid w:val="00B55908"/>
    <w:rsid w:val="00B62374"/>
    <w:rsid w:val="00B64F5F"/>
    <w:rsid w:val="00B75541"/>
    <w:rsid w:val="00B758E0"/>
    <w:rsid w:val="00B75C07"/>
    <w:rsid w:val="00B76E6F"/>
    <w:rsid w:val="00B877C2"/>
    <w:rsid w:val="00B87C96"/>
    <w:rsid w:val="00B9248B"/>
    <w:rsid w:val="00B9324E"/>
    <w:rsid w:val="00B96D2F"/>
    <w:rsid w:val="00BA0ADE"/>
    <w:rsid w:val="00BA173C"/>
    <w:rsid w:val="00BA5919"/>
    <w:rsid w:val="00BB0809"/>
    <w:rsid w:val="00BB2035"/>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25CF"/>
    <w:rsid w:val="00C436FD"/>
    <w:rsid w:val="00C43AAE"/>
    <w:rsid w:val="00C4446F"/>
    <w:rsid w:val="00C463BD"/>
    <w:rsid w:val="00C517ED"/>
    <w:rsid w:val="00C55896"/>
    <w:rsid w:val="00C60F32"/>
    <w:rsid w:val="00C71351"/>
    <w:rsid w:val="00C76AE7"/>
    <w:rsid w:val="00C818FA"/>
    <w:rsid w:val="00C82841"/>
    <w:rsid w:val="00C91866"/>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248AE"/>
    <w:rsid w:val="00D41B9B"/>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4392"/>
    <w:rsid w:val="00D96A56"/>
    <w:rsid w:val="00D9704C"/>
    <w:rsid w:val="00D971CE"/>
    <w:rsid w:val="00D97A9F"/>
    <w:rsid w:val="00DA2FD9"/>
    <w:rsid w:val="00DA717D"/>
    <w:rsid w:val="00DB0D39"/>
    <w:rsid w:val="00DB2BE3"/>
    <w:rsid w:val="00DB41D3"/>
    <w:rsid w:val="00DB6756"/>
    <w:rsid w:val="00DB691F"/>
    <w:rsid w:val="00DB6C34"/>
    <w:rsid w:val="00DC2C34"/>
    <w:rsid w:val="00DC700A"/>
    <w:rsid w:val="00DD2A2B"/>
    <w:rsid w:val="00DE3D3B"/>
    <w:rsid w:val="00DF3A0A"/>
    <w:rsid w:val="00DF5B2C"/>
    <w:rsid w:val="00DF6BEA"/>
    <w:rsid w:val="00DF7DA1"/>
    <w:rsid w:val="00E01BE3"/>
    <w:rsid w:val="00E01E1C"/>
    <w:rsid w:val="00E16A41"/>
    <w:rsid w:val="00E17100"/>
    <w:rsid w:val="00E22AFE"/>
    <w:rsid w:val="00E22C6D"/>
    <w:rsid w:val="00E31770"/>
    <w:rsid w:val="00E34795"/>
    <w:rsid w:val="00E34DC9"/>
    <w:rsid w:val="00E44384"/>
    <w:rsid w:val="00E47C16"/>
    <w:rsid w:val="00E60F11"/>
    <w:rsid w:val="00E61526"/>
    <w:rsid w:val="00E63A81"/>
    <w:rsid w:val="00E70C68"/>
    <w:rsid w:val="00E74179"/>
    <w:rsid w:val="00E7448A"/>
    <w:rsid w:val="00E80307"/>
    <w:rsid w:val="00E84287"/>
    <w:rsid w:val="00E84ABF"/>
    <w:rsid w:val="00E86DEE"/>
    <w:rsid w:val="00E87B0B"/>
    <w:rsid w:val="00E92811"/>
    <w:rsid w:val="00E932CE"/>
    <w:rsid w:val="00E9336C"/>
    <w:rsid w:val="00E93A07"/>
    <w:rsid w:val="00E95DD2"/>
    <w:rsid w:val="00EA3D78"/>
    <w:rsid w:val="00EA75AF"/>
    <w:rsid w:val="00EB588E"/>
    <w:rsid w:val="00EB6560"/>
    <w:rsid w:val="00EC1568"/>
    <w:rsid w:val="00EC1F0F"/>
    <w:rsid w:val="00EC380E"/>
    <w:rsid w:val="00EC4372"/>
    <w:rsid w:val="00EC5D81"/>
    <w:rsid w:val="00ED0473"/>
    <w:rsid w:val="00EE11F7"/>
    <w:rsid w:val="00EF1C76"/>
    <w:rsid w:val="00EF26E7"/>
    <w:rsid w:val="00EF6546"/>
    <w:rsid w:val="00EF7E88"/>
    <w:rsid w:val="00EF7F4C"/>
    <w:rsid w:val="00F03B58"/>
    <w:rsid w:val="00F1014E"/>
    <w:rsid w:val="00F10792"/>
    <w:rsid w:val="00F24C4C"/>
    <w:rsid w:val="00F255DC"/>
    <w:rsid w:val="00F26184"/>
    <w:rsid w:val="00F301DE"/>
    <w:rsid w:val="00F34E17"/>
    <w:rsid w:val="00F4418F"/>
    <w:rsid w:val="00F51558"/>
    <w:rsid w:val="00F53185"/>
    <w:rsid w:val="00F5529E"/>
    <w:rsid w:val="00F553CF"/>
    <w:rsid w:val="00F57234"/>
    <w:rsid w:val="00F6033B"/>
    <w:rsid w:val="00F643FD"/>
    <w:rsid w:val="00F65C96"/>
    <w:rsid w:val="00F81DBD"/>
    <w:rsid w:val="00F82516"/>
    <w:rsid w:val="00F82C45"/>
    <w:rsid w:val="00F8574E"/>
    <w:rsid w:val="00F96D14"/>
    <w:rsid w:val="00FA260D"/>
    <w:rsid w:val="00FA3E7F"/>
    <w:rsid w:val="00FB2E57"/>
    <w:rsid w:val="00FC2171"/>
    <w:rsid w:val="00FD1100"/>
    <w:rsid w:val="00FE10A3"/>
    <w:rsid w:val="00FE70BF"/>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72442"/>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4A4278"/>
    <w:rPr>
      <w:rFonts w:ascii="Times New Roman" w:hAnsi="Times New Roman"/>
      <w:lang w:val="en-GB" w:eastAsia="en-US"/>
    </w:rPr>
  </w:style>
  <w:style w:type="character" w:styleId="af0">
    <w:name w:val="annotation reference"/>
    <w:uiPriority w:val="99"/>
    <w:semiHidden/>
    <w:unhideWhenUsed/>
    <w:rsid w:val="00227064"/>
    <w:rPr>
      <w:sz w:val="16"/>
      <w:szCs w:val="16"/>
    </w:rPr>
  </w:style>
  <w:style w:type="paragraph" w:styleId="af1">
    <w:name w:val="annotation text"/>
    <w:basedOn w:val="a"/>
    <w:link w:val="11"/>
    <w:uiPriority w:val="99"/>
    <w:semiHidden/>
    <w:unhideWhenUsed/>
    <w:rsid w:val="00227064"/>
    <w:pPr>
      <w:widowControl/>
      <w:spacing w:after="180"/>
      <w:jc w:val="left"/>
    </w:pPr>
    <w:rPr>
      <w:rFonts w:ascii="Times New Roman" w:eastAsia="宋体" w:hAnsi="Times New Roman" w:cs="Times New Roman"/>
      <w:kern w:val="0"/>
      <w:sz w:val="20"/>
      <w:szCs w:val="20"/>
      <w:lang w:val="en-GB" w:eastAsia="en-US"/>
    </w:rPr>
  </w:style>
  <w:style w:type="character" w:customStyle="1" w:styleId="af2">
    <w:name w:val="批注文字 字符"/>
    <w:basedOn w:val="a0"/>
    <w:uiPriority w:val="99"/>
    <w:semiHidden/>
    <w:rsid w:val="00227064"/>
  </w:style>
  <w:style w:type="character" w:customStyle="1" w:styleId="11">
    <w:name w:val="批注文字 字符1"/>
    <w:link w:val="af1"/>
    <w:uiPriority w:val="99"/>
    <w:semiHidden/>
    <w:rsid w:val="00227064"/>
    <w:rPr>
      <w:rFonts w:ascii="Times New Roman" w:eastAsia="宋体" w:hAnsi="Times New Roman" w:cs="Times New Roman"/>
      <w:kern w:val="0"/>
      <w:sz w:val="20"/>
      <w:szCs w:val="20"/>
      <w:lang w:val="en-GB" w:eastAsia="en-US"/>
    </w:rPr>
  </w:style>
  <w:style w:type="paragraph" w:styleId="af3">
    <w:name w:val="Balloon Text"/>
    <w:basedOn w:val="a"/>
    <w:link w:val="af4"/>
    <w:uiPriority w:val="99"/>
    <w:semiHidden/>
    <w:unhideWhenUsed/>
    <w:rsid w:val="00227064"/>
    <w:rPr>
      <w:sz w:val="18"/>
      <w:szCs w:val="18"/>
    </w:rPr>
  </w:style>
  <w:style w:type="character" w:customStyle="1" w:styleId="af4">
    <w:name w:val="批注框文本 字符"/>
    <w:basedOn w:val="a0"/>
    <w:link w:val="af3"/>
    <w:uiPriority w:val="99"/>
    <w:semiHidden/>
    <w:rsid w:val="00227064"/>
    <w:rPr>
      <w:sz w:val="18"/>
      <w:szCs w:val="18"/>
    </w:rPr>
  </w:style>
  <w:style w:type="character" w:customStyle="1" w:styleId="B1Zchn">
    <w:name w:val="B1 Zchn"/>
    <w:qFormat/>
    <w:rsid w:val="003025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827751858">
      <w:bodyDiv w:val="1"/>
      <w:marLeft w:val="0"/>
      <w:marRight w:val="0"/>
      <w:marTop w:val="0"/>
      <w:marBottom w:val="0"/>
      <w:divBdr>
        <w:top w:val="none" w:sz="0" w:space="0" w:color="auto"/>
        <w:left w:val="none" w:sz="0" w:space="0" w:color="auto"/>
        <w:bottom w:val="none" w:sz="0" w:space="0" w:color="auto"/>
        <w:right w:val="none" w:sz="0" w:space="0" w:color="auto"/>
      </w:divBdr>
      <w:divsChild>
        <w:div w:id="588659169">
          <w:marLeft w:val="893"/>
          <w:marRight w:val="0"/>
          <w:marTop w:val="40"/>
          <w:marBottom w:val="80"/>
          <w:divBdr>
            <w:top w:val="none" w:sz="0" w:space="0" w:color="auto"/>
            <w:left w:val="none" w:sz="0" w:space="0" w:color="auto"/>
            <w:bottom w:val="none" w:sz="0" w:space="0" w:color="auto"/>
            <w:right w:val="none" w:sz="0" w:space="0" w:color="auto"/>
          </w:divBdr>
        </w:div>
        <w:div w:id="1717001864">
          <w:marLeft w:val="893"/>
          <w:marRight w:val="0"/>
          <w:marTop w:val="40"/>
          <w:marBottom w:val="8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E8993-B4D2-48E0-9DD1-B19D1CD6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15794</TotalTime>
  <Pages>4</Pages>
  <Words>1311</Words>
  <Characters>7478</Characters>
  <Application>Microsoft Office Word</Application>
  <DocSecurity>0</DocSecurity>
  <Lines>62</Lines>
  <Paragraphs>17</Paragraphs>
  <ScaleCrop>false</ScaleCrop>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220</cp:revision>
  <dcterms:created xsi:type="dcterms:W3CDTF">2021-01-14T12:11:00Z</dcterms:created>
  <dcterms:modified xsi:type="dcterms:W3CDTF">2023-08-11T12:45:00Z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